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54DC9" w14:textId="77777777" w:rsidR="006C46C9" w:rsidRPr="00FD3D70" w:rsidRDefault="006C46C9" w:rsidP="00ED1A8B">
      <w:pPr>
        <w:pStyle w:val="Default"/>
        <w:rPr>
          <w:b/>
          <w:bCs/>
          <w:color w:val="auto"/>
        </w:rPr>
      </w:pPr>
    </w:p>
    <w:p w14:paraId="39C5F65B" w14:textId="77777777" w:rsidR="00F571D6" w:rsidRPr="00FD3D70" w:rsidRDefault="00F571D6">
      <w:pPr>
        <w:spacing w:before="3" w:line="120" w:lineRule="exact"/>
        <w:rPr>
          <w:rFonts w:ascii="Times New Roman" w:hAnsi="Times New Roman" w:cs="Times New Roman"/>
          <w:sz w:val="24"/>
          <w:szCs w:val="24"/>
        </w:rPr>
      </w:pPr>
    </w:p>
    <w:p w14:paraId="7A88CEE8" w14:textId="2B0D7D55" w:rsidR="00F571D6" w:rsidRPr="00FD3D70" w:rsidRDefault="00C03810">
      <w:pPr>
        <w:ind w:right="297"/>
        <w:jc w:val="center"/>
        <w:rPr>
          <w:rFonts w:ascii="Times New Roman" w:eastAsia="Times New Roman" w:hAnsi="Times New Roman" w:cs="Times New Roman"/>
          <w:b/>
          <w:bCs/>
          <w:sz w:val="24"/>
          <w:szCs w:val="24"/>
          <w:u w:val="thick" w:color="000000"/>
        </w:rPr>
      </w:pPr>
      <w:r w:rsidRPr="00FD3D70">
        <w:rPr>
          <w:rFonts w:ascii="Times New Roman" w:eastAsia="Times New Roman" w:hAnsi="Times New Roman" w:cs="Times New Roman"/>
          <w:b/>
          <w:bCs/>
          <w:spacing w:val="-2"/>
          <w:sz w:val="24"/>
          <w:szCs w:val="24"/>
          <w:u w:val="thick" w:color="000000"/>
        </w:rPr>
        <w:t>DA</w:t>
      </w:r>
      <w:r w:rsidRPr="00FD3D70">
        <w:rPr>
          <w:rFonts w:ascii="Times New Roman" w:eastAsia="Times New Roman" w:hAnsi="Times New Roman" w:cs="Times New Roman"/>
          <w:b/>
          <w:bCs/>
          <w:spacing w:val="-1"/>
          <w:sz w:val="24"/>
          <w:szCs w:val="24"/>
          <w:u w:val="thick" w:color="000000"/>
        </w:rPr>
        <w:t>T</w:t>
      </w:r>
      <w:r w:rsidRPr="00FD3D70">
        <w:rPr>
          <w:rFonts w:ascii="Times New Roman" w:eastAsia="Times New Roman" w:hAnsi="Times New Roman" w:cs="Times New Roman"/>
          <w:b/>
          <w:bCs/>
          <w:sz w:val="24"/>
          <w:szCs w:val="24"/>
          <w:u w:val="thick" w:color="000000"/>
        </w:rPr>
        <w:t>A</w:t>
      </w:r>
      <w:r w:rsidRPr="00FD3D70">
        <w:rPr>
          <w:rFonts w:ascii="Times New Roman" w:eastAsia="Times New Roman" w:hAnsi="Times New Roman" w:cs="Times New Roman"/>
          <w:b/>
          <w:bCs/>
          <w:spacing w:val="-2"/>
          <w:sz w:val="24"/>
          <w:szCs w:val="24"/>
          <w:u w:val="thick" w:color="000000"/>
        </w:rPr>
        <w:t xml:space="preserve"> R</w:t>
      </w:r>
      <w:r w:rsidRPr="00FD3D70">
        <w:rPr>
          <w:rFonts w:ascii="Times New Roman" w:eastAsia="Times New Roman" w:hAnsi="Times New Roman" w:cs="Times New Roman"/>
          <w:b/>
          <w:bCs/>
          <w:spacing w:val="-1"/>
          <w:sz w:val="24"/>
          <w:szCs w:val="24"/>
          <w:u w:val="thick" w:color="000000"/>
        </w:rPr>
        <w:t>E</w:t>
      </w:r>
      <w:r w:rsidRPr="00FD3D70">
        <w:rPr>
          <w:rFonts w:ascii="Times New Roman" w:eastAsia="Times New Roman" w:hAnsi="Times New Roman" w:cs="Times New Roman"/>
          <w:b/>
          <w:bCs/>
          <w:sz w:val="24"/>
          <w:szCs w:val="24"/>
          <w:u w:val="thick" w:color="000000"/>
        </w:rPr>
        <w:t>Q</w:t>
      </w:r>
      <w:r w:rsidRPr="00FD3D70">
        <w:rPr>
          <w:rFonts w:ascii="Times New Roman" w:eastAsia="Times New Roman" w:hAnsi="Times New Roman" w:cs="Times New Roman"/>
          <w:b/>
          <w:bCs/>
          <w:spacing w:val="-2"/>
          <w:sz w:val="24"/>
          <w:szCs w:val="24"/>
          <w:u w:val="thick" w:color="000000"/>
        </w:rPr>
        <w:t>U</w:t>
      </w:r>
      <w:r w:rsidRPr="00FD3D70">
        <w:rPr>
          <w:rFonts w:ascii="Times New Roman" w:eastAsia="Times New Roman" w:hAnsi="Times New Roman" w:cs="Times New Roman"/>
          <w:b/>
          <w:bCs/>
          <w:spacing w:val="-1"/>
          <w:sz w:val="24"/>
          <w:szCs w:val="24"/>
          <w:u w:val="thick" w:color="000000"/>
        </w:rPr>
        <w:t>E</w:t>
      </w:r>
      <w:r w:rsidRPr="00FD3D70">
        <w:rPr>
          <w:rFonts w:ascii="Times New Roman" w:eastAsia="Times New Roman" w:hAnsi="Times New Roman" w:cs="Times New Roman"/>
          <w:b/>
          <w:bCs/>
          <w:sz w:val="24"/>
          <w:szCs w:val="24"/>
          <w:u w:val="thick" w:color="000000"/>
        </w:rPr>
        <w:t>ST</w:t>
      </w:r>
    </w:p>
    <w:p w14:paraId="3F8DE7D1" w14:textId="77777777" w:rsidR="00F25E6E" w:rsidRPr="00FD3D70" w:rsidRDefault="00F25E6E">
      <w:pPr>
        <w:ind w:right="297"/>
        <w:jc w:val="center"/>
        <w:rPr>
          <w:rFonts w:ascii="Times New Roman" w:eastAsia="Times New Roman" w:hAnsi="Times New Roman" w:cs="Times New Roman"/>
          <w:b/>
          <w:bCs/>
          <w:sz w:val="24"/>
          <w:szCs w:val="24"/>
          <w:u w:val="thick" w:color="000000"/>
        </w:rPr>
      </w:pPr>
    </w:p>
    <w:p w14:paraId="279D3A61" w14:textId="77777777" w:rsidR="000C64AD" w:rsidRPr="00FD3D70" w:rsidRDefault="000C64AD" w:rsidP="000C64AD">
      <w:pPr>
        <w:pStyle w:val="ListParagraph"/>
        <w:widowControl/>
        <w:numPr>
          <w:ilvl w:val="0"/>
          <w:numId w:val="11"/>
        </w:numPr>
        <w:tabs>
          <w:tab w:val="clear" w:pos="630"/>
          <w:tab w:val="num" w:pos="540"/>
        </w:tabs>
        <w:autoSpaceDE w:val="0"/>
        <w:autoSpaceDN w:val="0"/>
        <w:adjustRightInd w:val="0"/>
        <w:ind w:left="540"/>
        <w:contextualSpacing/>
        <w:rPr>
          <w:rFonts w:ascii="Times New Roman" w:hAnsi="Times New Roman" w:cs="Times New Roman"/>
          <w:b/>
          <w:bCs/>
          <w:sz w:val="24"/>
          <w:szCs w:val="24"/>
        </w:rPr>
      </w:pPr>
      <w:r w:rsidRPr="00FD3D70">
        <w:rPr>
          <w:rFonts w:ascii="Times New Roman" w:hAnsi="Times New Roman" w:cs="Times New Roman"/>
          <w:b/>
          <w:bCs/>
          <w:sz w:val="24"/>
          <w:szCs w:val="24"/>
        </w:rPr>
        <w:t xml:space="preserve">Please calculate the proposed use cases with another version of the EV HP (A.1907006) UDC and commodity rates using the following time-of-use (TOU) periods:  (for convenience SDAP will allow double the amount of time to respond to question 1).  Please provide in an excel document.  </w:t>
      </w:r>
    </w:p>
    <w:p w14:paraId="55D56591" w14:textId="77777777" w:rsidR="000C64AD" w:rsidRPr="00FD3D70" w:rsidRDefault="000C64AD" w:rsidP="000C64AD">
      <w:pPr>
        <w:autoSpaceDE w:val="0"/>
        <w:autoSpaceDN w:val="0"/>
        <w:adjustRightInd w:val="0"/>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1870"/>
        <w:gridCol w:w="1870"/>
        <w:gridCol w:w="1870"/>
      </w:tblGrid>
      <w:tr w:rsidR="000C64AD" w:rsidRPr="00FD3D70" w14:paraId="462B8A63" w14:textId="77777777" w:rsidTr="00753CFD">
        <w:trPr>
          <w:trHeight w:val="719"/>
        </w:trPr>
        <w:tc>
          <w:tcPr>
            <w:tcW w:w="1870" w:type="dxa"/>
          </w:tcPr>
          <w:p w14:paraId="76A64CB4" w14:textId="77777777" w:rsidR="000C64AD" w:rsidRPr="00FD3D70" w:rsidRDefault="000C64AD" w:rsidP="00753CFD">
            <w:pPr>
              <w:autoSpaceDE w:val="0"/>
              <w:autoSpaceDN w:val="0"/>
              <w:adjustRightInd w:val="0"/>
              <w:rPr>
                <w:rFonts w:ascii="Times New Roman" w:hAnsi="Times New Roman" w:cs="Times New Roman"/>
                <w:b/>
                <w:bCs/>
                <w:sz w:val="24"/>
                <w:szCs w:val="24"/>
              </w:rPr>
            </w:pPr>
          </w:p>
        </w:tc>
        <w:tc>
          <w:tcPr>
            <w:tcW w:w="1870" w:type="dxa"/>
          </w:tcPr>
          <w:p w14:paraId="64D99E35" w14:textId="77777777" w:rsidR="000C64AD" w:rsidRPr="00FD3D70" w:rsidRDefault="000C64AD" w:rsidP="00753CFD">
            <w:pPr>
              <w:autoSpaceDE w:val="0"/>
              <w:autoSpaceDN w:val="0"/>
              <w:adjustRightInd w:val="0"/>
              <w:rPr>
                <w:rFonts w:ascii="Times New Roman" w:hAnsi="Times New Roman" w:cs="Times New Roman"/>
                <w:b/>
                <w:bCs/>
                <w:sz w:val="24"/>
                <w:szCs w:val="24"/>
              </w:rPr>
            </w:pPr>
            <w:r w:rsidRPr="00FD3D70">
              <w:rPr>
                <w:rFonts w:ascii="Times New Roman" w:hAnsi="Times New Roman" w:cs="Times New Roman"/>
                <w:b/>
                <w:bCs/>
                <w:sz w:val="24"/>
                <w:szCs w:val="24"/>
              </w:rPr>
              <w:t>Summer All Days</w:t>
            </w:r>
          </w:p>
        </w:tc>
        <w:tc>
          <w:tcPr>
            <w:tcW w:w="1870" w:type="dxa"/>
          </w:tcPr>
          <w:p w14:paraId="0B974B2C" w14:textId="77777777" w:rsidR="000C64AD" w:rsidRPr="00FD3D70" w:rsidRDefault="000C64AD" w:rsidP="00753CFD">
            <w:pPr>
              <w:autoSpaceDE w:val="0"/>
              <w:autoSpaceDN w:val="0"/>
              <w:adjustRightInd w:val="0"/>
              <w:rPr>
                <w:rFonts w:ascii="Times New Roman" w:hAnsi="Times New Roman" w:cs="Times New Roman"/>
                <w:b/>
                <w:bCs/>
                <w:sz w:val="24"/>
                <w:szCs w:val="24"/>
              </w:rPr>
            </w:pPr>
            <w:r w:rsidRPr="00FD3D70">
              <w:rPr>
                <w:rFonts w:ascii="Times New Roman" w:hAnsi="Times New Roman" w:cs="Times New Roman"/>
                <w:b/>
                <w:bCs/>
                <w:sz w:val="24"/>
                <w:szCs w:val="24"/>
              </w:rPr>
              <w:t>Winter All Days</w:t>
            </w:r>
          </w:p>
        </w:tc>
      </w:tr>
      <w:tr w:rsidR="000C64AD" w:rsidRPr="00FD3D70" w14:paraId="01B4FBAB" w14:textId="77777777" w:rsidTr="00753CFD">
        <w:trPr>
          <w:trHeight w:val="440"/>
        </w:trPr>
        <w:tc>
          <w:tcPr>
            <w:tcW w:w="1870" w:type="dxa"/>
          </w:tcPr>
          <w:p w14:paraId="0F68C2AC" w14:textId="77777777" w:rsidR="000C64AD" w:rsidRPr="00FD3D70" w:rsidRDefault="000C64AD" w:rsidP="00753CFD">
            <w:pPr>
              <w:autoSpaceDE w:val="0"/>
              <w:autoSpaceDN w:val="0"/>
              <w:adjustRightInd w:val="0"/>
              <w:rPr>
                <w:rFonts w:ascii="Times New Roman" w:hAnsi="Times New Roman" w:cs="Times New Roman"/>
                <w:b/>
                <w:bCs/>
                <w:sz w:val="24"/>
                <w:szCs w:val="24"/>
              </w:rPr>
            </w:pPr>
            <w:r w:rsidRPr="00FD3D70">
              <w:rPr>
                <w:rFonts w:ascii="Times New Roman" w:hAnsi="Times New Roman" w:cs="Times New Roman"/>
                <w:b/>
                <w:bCs/>
                <w:sz w:val="24"/>
                <w:szCs w:val="24"/>
              </w:rPr>
              <w:t>Peak</w:t>
            </w:r>
          </w:p>
        </w:tc>
        <w:tc>
          <w:tcPr>
            <w:tcW w:w="1870" w:type="dxa"/>
          </w:tcPr>
          <w:p w14:paraId="4100F7A2" w14:textId="77777777" w:rsidR="000C64AD" w:rsidRPr="00FD3D70" w:rsidRDefault="000C64AD" w:rsidP="00753CFD">
            <w:pPr>
              <w:autoSpaceDE w:val="0"/>
              <w:autoSpaceDN w:val="0"/>
              <w:adjustRightInd w:val="0"/>
              <w:rPr>
                <w:rFonts w:ascii="Times New Roman" w:hAnsi="Times New Roman" w:cs="Times New Roman"/>
                <w:b/>
                <w:bCs/>
                <w:sz w:val="24"/>
                <w:szCs w:val="24"/>
              </w:rPr>
            </w:pPr>
            <w:r w:rsidRPr="00FD3D70">
              <w:rPr>
                <w:rFonts w:ascii="Times New Roman" w:hAnsi="Times New Roman" w:cs="Times New Roman"/>
                <w:b/>
                <w:bCs/>
                <w:sz w:val="24"/>
                <w:szCs w:val="24"/>
              </w:rPr>
              <w:t>5 PM – 9 PM</w:t>
            </w:r>
          </w:p>
        </w:tc>
        <w:tc>
          <w:tcPr>
            <w:tcW w:w="1870" w:type="dxa"/>
          </w:tcPr>
          <w:p w14:paraId="5D28CFB3" w14:textId="77777777" w:rsidR="000C64AD" w:rsidRPr="00FD3D70" w:rsidRDefault="000C64AD" w:rsidP="00753CFD">
            <w:pPr>
              <w:autoSpaceDE w:val="0"/>
              <w:autoSpaceDN w:val="0"/>
              <w:adjustRightInd w:val="0"/>
              <w:rPr>
                <w:rFonts w:ascii="Times New Roman" w:hAnsi="Times New Roman" w:cs="Times New Roman"/>
                <w:b/>
                <w:bCs/>
                <w:sz w:val="24"/>
                <w:szCs w:val="24"/>
              </w:rPr>
            </w:pPr>
            <w:r w:rsidRPr="00FD3D70">
              <w:rPr>
                <w:rFonts w:ascii="Times New Roman" w:hAnsi="Times New Roman" w:cs="Times New Roman"/>
                <w:b/>
                <w:bCs/>
                <w:sz w:val="24"/>
                <w:szCs w:val="24"/>
              </w:rPr>
              <w:t>5 PM –9 PM</w:t>
            </w:r>
          </w:p>
        </w:tc>
      </w:tr>
      <w:tr w:rsidR="000C64AD" w:rsidRPr="00FD3D70" w14:paraId="245BFB23" w14:textId="77777777" w:rsidTr="00753CFD">
        <w:trPr>
          <w:trHeight w:val="710"/>
        </w:trPr>
        <w:tc>
          <w:tcPr>
            <w:tcW w:w="1870" w:type="dxa"/>
          </w:tcPr>
          <w:p w14:paraId="17278958" w14:textId="77777777" w:rsidR="000C64AD" w:rsidRPr="00FD3D70" w:rsidRDefault="000C64AD" w:rsidP="00753CFD">
            <w:pPr>
              <w:autoSpaceDE w:val="0"/>
              <w:autoSpaceDN w:val="0"/>
              <w:adjustRightInd w:val="0"/>
              <w:rPr>
                <w:rFonts w:ascii="Times New Roman" w:hAnsi="Times New Roman" w:cs="Times New Roman"/>
                <w:b/>
                <w:bCs/>
                <w:sz w:val="24"/>
                <w:szCs w:val="24"/>
              </w:rPr>
            </w:pPr>
            <w:r w:rsidRPr="00FD3D70">
              <w:rPr>
                <w:rFonts w:ascii="Times New Roman" w:hAnsi="Times New Roman" w:cs="Times New Roman"/>
                <w:b/>
                <w:bCs/>
                <w:sz w:val="24"/>
                <w:szCs w:val="24"/>
              </w:rPr>
              <w:t>Non-Peak</w:t>
            </w:r>
          </w:p>
        </w:tc>
        <w:tc>
          <w:tcPr>
            <w:tcW w:w="1870" w:type="dxa"/>
          </w:tcPr>
          <w:p w14:paraId="62CCAD9D" w14:textId="77777777" w:rsidR="000C64AD" w:rsidRPr="00FD3D70" w:rsidRDefault="000C64AD" w:rsidP="00753CFD">
            <w:pPr>
              <w:autoSpaceDE w:val="0"/>
              <w:autoSpaceDN w:val="0"/>
              <w:adjustRightInd w:val="0"/>
              <w:rPr>
                <w:rFonts w:ascii="Times New Roman" w:hAnsi="Times New Roman" w:cs="Times New Roman"/>
                <w:b/>
                <w:bCs/>
                <w:sz w:val="24"/>
                <w:szCs w:val="24"/>
              </w:rPr>
            </w:pPr>
            <w:r w:rsidRPr="00FD3D70">
              <w:rPr>
                <w:rFonts w:ascii="Times New Roman" w:hAnsi="Times New Roman" w:cs="Times New Roman"/>
                <w:b/>
                <w:bCs/>
                <w:sz w:val="24"/>
                <w:szCs w:val="24"/>
              </w:rPr>
              <w:t>All other hours</w:t>
            </w:r>
          </w:p>
        </w:tc>
        <w:tc>
          <w:tcPr>
            <w:tcW w:w="1870" w:type="dxa"/>
          </w:tcPr>
          <w:p w14:paraId="612D5D2A" w14:textId="77777777" w:rsidR="000C64AD" w:rsidRPr="00FD3D70" w:rsidRDefault="000C64AD" w:rsidP="00753CFD">
            <w:pPr>
              <w:autoSpaceDE w:val="0"/>
              <w:autoSpaceDN w:val="0"/>
              <w:adjustRightInd w:val="0"/>
              <w:rPr>
                <w:rFonts w:ascii="Times New Roman" w:hAnsi="Times New Roman" w:cs="Times New Roman"/>
                <w:b/>
                <w:bCs/>
                <w:sz w:val="24"/>
                <w:szCs w:val="24"/>
              </w:rPr>
            </w:pPr>
            <w:r w:rsidRPr="00FD3D70">
              <w:rPr>
                <w:rFonts w:ascii="Times New Roman" w:hAnsi="Times New Roman" w:cs="Times New Roman"/>
                <w:b/>
                <w:bCs/>
                <w:sz w:val="24"/>
                <w:szCs w:val="24"/>
              </w:rPr>
              <w:t>All other hours</w:t>
            </w:r>
          </w:p>
        </w:tc>
      </w:tr>
    </w:tbl>
    <w:p w14:paraId="77BE3040" w14:textId="77777777" w:rsidR="000C64AD" w:rsidRPr="00FD3D70" w:rsidRDefault="000C64AD" w:rsidP="000C64AD">
      <w:pPr>
        <w:rPr>
          <w:rFonts w:ascii="Times New Roman" w:hAnsi="Times New Roman" w:cs="Times New Roman"/>
          <w:b/>
          <w:bCs/>
          <w:sz w:val="24"/>
          <w:szCs w:val="24"/>
          <w:shd w:val="clear" w:color="auto" w:fill="FFFFFF"/>
        </w:rPr>
      </w:pPr>
    </w:p>
    <w:p w14:paraId="564DEC7A" w14:textId="77777777" w:rsidR="000C64AD" w:rsidRPr="00FD3D70" w:rsidRDefault="000C64AD" w:rsidP="000C64AD">
      <w:pPr>
        <w:rPr>
          <w:rFonts w:ascii="Times New Roman" w:hAnsi="Times New Roman" w:cs="Times New Roman"/>
          <w:b/>
          <w:bCs/>
          <w:sz w:val="24"/>
          <w:szCs w:val="24"/>
          <w:shd w:val="clear" w:color="auto" w:fill="FFFFFF"/>
        </w:rPr>
      </w:pPr>
    </w:p>
    <w:p w14:paraId="0675ED73" w14:textId="77777777" w:rsidR="000C64AD" w:rsidRPr="00FD3D70" w:rsidRDefault="000C64AD" w:rsidP="000C64AD">
      <w:pPr>
        <w:rPr>
          <w:rFonts w:ascii="Times New Roman" w:hAnsi="Times New Roman" w:cs="Times New Roman"/>
          <w:b/>
          <w:bCs/>
          <w:sz w:val="24"/>
          <w:szCs w:val="24"/>
          <w:shd w:val="clear" w:color="auto" w:fill="FFFFFF"/>
        </w:rPr>
      </w:pPr>
      <w:r w:rsidRPr="00FD3D70">
        <w:rPr>
          <w:rFonts w:ascii="Times New Roman" w:hAnsi="Times New Roman" w:cs="Times New Roman"/>
          <w:b/>
          <w:bCs/>
          <w:sz w:val="24"/>
          <w:szCs w:val="24"/>
          <w:shd w:val="clear" w:color="auto" w:fill="FFFFFF"/>
        </w:rPr>
        <w:t>Background for this data request:</w:t>
      </w:r>
    </w:p>
    <w:p w14:paraId="7523022E" w14:textId="77777777" w:rsidR="000C64AD" w:rsidRPr="00FD3D70" w:rsidRDefault="000C64AD" w:rsidP="000C64AD">
      <w:pPr>
        <w:rPr>
          <w:rFonts w:ascii="Times New Roman" w:hAnsi="Times New Roman" w:cs="Times New Roman"/>
          <w:b/>
          <w:bCs/>
          <w:sz w:val="24"/>
          <w:szCs w:val="24"/>
          <w:shd w:val="clear" w:color="auto" w:fill="FFFFFF"/>
        </w:rPr>
      </w:pPr>
    </w:p>
    <w:p w14:paraId="5B17A1C2" w14:textId="77777777" w:rsidR="000C64AD" w:rsidRPr="00FD3D70" w:rsidRDefault="000C64AD" w:rsidP="000C64AD">
      <w:pPr>
        <w:pStyle w:val="ListParagraph"/>
        <w:widowControl/>
        <w:numPr>
          <w:ilvl w:val="0"/>
          <w:numId w:val="13"/>
        </w:numPr>
        <w:contextualSpacing/>
        <w:rPr>
          <w:rFonts w:ascii="Times New Roman" w:hAnsi="Times New Roman" w:cs="Times New Roman"/>
          <w:b/>
          <w:bCs/>
          <w:sz w:val="24"/>
          <w:szCs w:val="24"/>
          <w:shd w:val="clear" w:color="auto" w:fill="FFFFFF"/>
        </w:rPr>
      </w:pPr>
      <w:r w:rsidRPr="00FD3D70">
        <w:rPr>
          <w:rFonts w:ascii="Times New Roman" w:hAnsi="Times New Roman" w:cs="Times New Roman"/>
          <w:b/>
          <w:bCs/>
          <w:sz w:val="24"/>
          <w:szCs w:val="24"/>
          <w:shd w:val="clear" w:color="auto" w:fill="FFFFFF"/>
        </w:rPr>
        <w:t>SDG&amp;E’s A.1907009 use cases 1-4 assume overnight charging (12 midnight to 6 AM)</w:t>
      </w:r>
    </w:p>
    <w:p w14:paraId="34A583D7" w14:textId="77777777" w:rsidR="000C64AD" w:rsidRPr="00FD3D70" w:rsidRDefault="000C64AD" w:rsidP="000C64AD">
      <w:pPr>
        <w:pStyle w:val="ListParagraph"/>
        <w:widowControl/>
        <w:numPr>
          <w:ilvl w:val="0"/>
          <w:numId w:val="13"/>
        </w:numPr>
        <w:contextualSpacing/>
        <w:rPr>
          <w:rFonts w:ascii="Times New Roman" w:hAnsi="Times New Roman" w:cs="Times New Roman"/>
          <w:b/>
          <w:bCs/>
          <w:sz w:val="24"/>
          <w:szCs w:val="24"/>
          <w:shd w:val="clear" w:color="auto" w:fill="FFFFFF"/>
        </w:rPr>
      </w:pPr>
      <w:r w:rsidRPr="00FD3D70">
        <w:rPr>
          <w:rFonts w:ascii="Times New Roman" w:hAnsi="Times New Roman" w:cs="Times New Roman"/>
          <w:b/>
          <w:bCs/>
          <w:sz w:val="24"/>
          <w:szCs w:val="24"/>
          <w:shd w:val="clear" w:color="auto" w:fill="FFFFFF"/>
        </w:rPr>
        <w:t>SDG&amp;E’s A.1907009 use case  5 assumes mainly daytime charging</w:t>
      </w:r>
    </w:p>
    <w:p w14:paraId="4CBFAC51" w14:textId="77777777" w:rsidR="000C64AD" w:rsidRPr="00FD3D70" w:rsidRDefault="000C64AD" w:rsidP="000C64AD">
      <w:pPr>
        <w:pStyle w:val="ListParagraph"/>
        <w:widowControl/>
        <w:numPr>
          <w:ilvl w:val="0"/>
          <w:numId w:val="13"/>
        </w:numPr>
        <w:contextualSpacing/>
        <w:rPr>
          <w:rFonts w:ascii="Times New Roman" w:hAnsi="Times New Roman" w:cs="Times New Roman"/>
          <w:b/>
          <w:bCs/>
          <w:sz w:val="24"/>
          <w:szCs w:val="24"/>
          <w:shd w:val="clear" w:color="auto" w:fill="FFFFFF"/>
        </w:rPr>
      </w:pPr>
      <w:r w:rsidRPr="00FD3D70">
        <w:rPr>
          <w:rFonts w:ascii="Times New Roman" w:hAnsi="Times New Roman" w:cs="Times New Roman"/>
          <w:b/>
          <w:bCs/>
          <w:sz w:val="24"/>
          <w:szCs w:val="24"/>
          <w:shd w:val="clear" w:color="auto" w:fill="FFFFFF"/>
        </w:rPr>
        <w:t>PG&amp;E’s A.1811003 and D.1910055 use cases assume mainly daytime charging</w:t>
      </w:r>
    </w:p>
    <w:p w14:paraId="704277C3" w14:textId="77777777" w:rsidR="000C64AD" w:rsidRPr="00FD3D70" w:rsidRDefault="000C64AD" w:rsidP="000C64AD">
      <w:pPr>
        <w:pStyle w:val="ListParagraph"/>
        <w:widowControl/>
        <w:numPr>
          <w:ilvl w:val="0"/>
          <w:numId w:val="13"/>
        </w:numPr>
        <w:contextualSpacing/>
        <w:rPr>
          <w:rFonts w:ascii="Times New Roman" w:hAnsi="Times New Roman" w:cs="Times New Roman"/>
          <w:b/>
          <w:bCs/>
          <w:sz w:val="24"/>
          <w:szCs w:val="24"/>
          <w:shd w:val="clear" w:color="auto" w:fill="FFFFFF"/>
        </w:rPr>
      </w:pPr>
      <w:r w:rsidRPr="00FD3D70">
        <w:rPr>
          <w:rFonts w:ascii="Times New Roman" w:hAnsi="Times New Roman" w:cs="Times New Roman"/>
          <w:b/>
          <w:bCs/>
          <w:sz w:val="24"/>
          <w:szCs w:val="24"/>
          <w:shd w:val="clear" w:color="auto" w:fill="FFFFFF"/>
        </w:rPr>
        <w:t xml:space="preserve">CARB data, </w:t>
      </w:r>
      <w:r w:rsidRPr="00FD3D70">
        <w:rPr>
          <w:rFonts w:ascii="Times New Roman" w:hAnsi="Times New Roman" w:cs="Times New Roman"/>
          <w:b/>
          <w:bCs/>
          <w:i/>
          <w:iCs/>
          <w:sz w:val="24"/>
          <w:szCs w:val="24"/>
          <w:shd w:val="clear" w:color="auto" w:fill="FFFFFF"/>
        </w:rPr>
        <w:t xml:space="preserve">see link below (also attached document for your reference) on CARB 2-8-2019 publication on California’s Average Grid Electricity used and Hourly Carbon Intensity:  </w:t>
      </w:r>
      <w:hyperlink r:id="rId8" w:history="1">
        <w:r w:rsidRPr="00FD3D70">
          <w:rPr>
            <w:rStyle w:val="Hyperlink"/>
            <w:rFonts w:ascii="Times New Roman" w:hAnsi="Times New Roman" w:cs="Times New Roman"/>
            <w:sz w:val="24"/>
            <w:szCs w:val="24"/>
          </w:rPr>
          <w:t>https://www.google.com/search?rlz=1C1CHBF_enUS771US771&amp;ei=CcLmXbriGOu7tgX_g5L4Aw&amp;q=carb+california+average+electricy+used&amp;oq=carb+california+average+electricy+used&amp;gs_l=psy-ab.3..33i10i299l3.72159.79149..79423...0.1..1.276.4429.10j27j1......0....1..gws-wiz.......0i71j0i273j0i67j0i131j0j0i333j0i22i30j33i160j33i299j33i22i29i30j33i10i160.kHS28PuemAg&amp;ved=0ahUKEwj6ipCypZrmAhXrna0KHf-BBD8Q4dUDCAs&amp;uact=5</w:t>
        </w:r>
      </w:hyperlink>
    </w:p>
    <w:p w14:paraId="40F979F6" w14:textId="77777777" w:rsidR="000C64AD" w:rsidRPr="00FD3D70" w:rsidRDefault="000C64AD" w:rsidP="000C64AD">
      <w:pPr>
        <w:pStyle w:val="ListParagraph"/>
        <w:rPr>
          <w:rFonts w:ascii="Times New Roman" w:hAnsi="Times New Roman" w:cs="Times New Roman"/>
          <w:b/>
          <w:bCs/>
          <w:sz w:val="24"/>
          <w:szCs w:val="24"/>
          <w:shd w:val="clear" w:color="auto" w:fill="FFFFFF"/>
        </w:rPr>
      </w:pPr>
      <w:r w:rsidRPr="00FD3D70">
        <w:rPr>
          <w:rFonts w:ascii="Times New Roman" w:hAnsi="Times New Roman" w:cs="Times New Roman"/>
          <w:b/>
          <w:bCs/>
          <w:sz w:val="24"/>
          <w:szCs w:val="24"/>
          <w:shd w:val="clear" w:color="auto" w:fill="FFFFFF"/>
        </w:rPr>
        <w:t xml:space="preserve">The data indicates that daytime hours (8 AM – 4 PM) have the lowest annual average emissions.  </w:t>
      </w:r>
    </w:p>
    <w:p w14:paraId="3DC8B19A" w14:textId="77777777" w:rsidR="000C64AD" w:rsidRPr="00FD3D70" w:rsidRDefault="000C64AD" w:rsidP="000C64AD">
      <w:pPr>
        <w:pStyle w:val="ListParagraph"/>
        <w:widowControl/>
        <w:numPr>
          <w:ilvl w:val="0"/>
          <w:numId w:val="13"/>
        </w:numPr>
        <w:contextualSpacing/>
        <w:rPr>
          <w:rFonts w:ascii="Times New Roman" w:hAnsi="Times New Roman" w:cs="Times New Roman"/>
          <w:b/>
          <w:bCs/>
          <w:sz w:val="24"/>
          <w:szCs w:val="24"/>
          <w:shd w:val="clear" w:color="auto" w:fill="FFFFFF"/>
        </w:rPr>
      </w:pPr>
      <w:r w:rsidRPr="00FD3D70">
        <w:rPr>
          <w:rFonts w:ascii="Times New Roman" w:hAnsi="Times New Roman" w:cs="Times New Roman"/>
          <w:b/>
          <w:bCs/>
          <w:sz w:val="24"/>
          <w:szCs w:val="24"/>
          <w:shd w:val="clear" w:color="auto" w:fill="FFFFFF"/>
        </w:rPr>
        <w:t>SDAP recognizes that a wide variety of customers will take service under EV-HP if it becomes available in A.1907006; some customers may prefer overnight charging; others will need daytime charging for operational reasons</w:t>
      </w:r>
    </w:p>
    <w:p w14:paraId="5752359D" w14:textId="77777777" w:rsidR="000C64AD" w:rsidRPr="00FD3D70" w:rsidRDefault="000C64AD" w:rsidP="000C64AD">
      <w:pPr>
        <w:pStyle w:val="ListParagraph"/>
        <w:widowControl/>
        <w:numPr>
          <w:ilvl w:val="0"/>
          <w:numId w:val="13"/>
        </w:numPr>
        <w:contextualSpacing/>
        <w:rPr>
          <w:rFonts w:ascii="Times New Roman" w:hAnsi="Times New Roman" w:cs="Times New Roman"/>
          <w:b/>
          <w:bCs/>
          <w:sz w:val="24"/>
          <w:szCs w:val="24"/>
          <w:shd w:val="clear" w:color="auto" w:fill="FFFFFF"/>
        </w:rPr>
      </w:pPr>
      <w:r w:rsidRPr="00FD3D70">
        <w:rPr>
          <w:rFonts w:ascii="Times New Roman" w:hAnsi="Times New Roman" w:cs="Times New Roman"/>
          <w:b/>
          <w:bCs/>
          <w:sz w:val="24"/>
          <w:szCs w:val="24"/>
          <w:shd w:val="clear" w:color="auto" w:fill="FFFFFF"/>
        </w:rPr>
        <w:t>SDAP believes that EV fleet and Charging Station owners would prefer the simplest possible rate design consistent with cost causation and emissions minimization.</w:t>
      </w:r>
    </w:p>
    <w:p w14:paraId="07DFAB9E" w14:textId="40FC4098" w:rsidR="000C64AD" w:rsidRDefault="000C64AD" w:rsidP="000C64AD">
      <w:pPr>
        <w:pStyle w:val="ListParagraph"/>
        <w:widowControl/>
        <w:numPr>
          <w:ilvl w:val="0"/>
          <w:numId w:val="13"/>
        </w:numPr>
        <w:contextualSpacing/>
        <w:rPr>
          <w:rFonts w:ascii="Times New Roman" w:hAnsi="Times New Roman" w:cs="Times New Roman"/>
          <w:b/>
          <w:bCs/>
          <w:sz w:val="24"/>
          <w:szCs w:val="24"/>
          <w:shd w:val="clear" w:color="auto" w:fill="FFFFFF"/>
        </w:rPr>
      </w:pPr>
      <w:r w:rsidRPr="00FD3D70">
        <w:rPr>
          <w:rFonts w:ascii="Times New Roman" w:hAnsi="Times New Roman" w:cs="Times New Roman"/>
          <w:b/>
          <w:bCs/>
          <w:sz w:val="24"/>
          <w:szCs w:val="24"/>
          <w:shd w:val="clear" w:color="auto" w:fill="FFFFFF"/>
        </w:rPr>
        <w:t>The differences between super-off-peak and off-peak rates in SDG&amp;E’s current EV-HP A.1907006 proposal are relatively small; this means that there will be little loss of accuracy resulting from blending the two in to a single 19 hour “non-peak” period.</w:t>
      </w:r>
    </w:p>
    <w:p w14:paraId="2846EE8C" w14:textId="410B8A78" w:rsidR="00036BA1" w:rsidRDefault="00036BA1" w:rsidP="00036BA1">
      <w:pPr>
        <w:widowControl/>
        <w:contextualSpacing/>
        <w:rPr>
          <w:rFonts w:ascii="Times New Roman" w:hAnsi="Times New Roman" w:cs="Times New Roman"/>
          <w:b/>
          <w:bCs/>
          <w:sz w:val="24"/>
          <w:szCs w:val="24"/>
          <w:shd w:val="clear" w:color="auto" w:fill="FFFFFF"/>
        </w:rPr>
      </w:pPr>
    </w:p>
    <w:p w14:paraId="72CBE692" w14:textId="31A0C432" w:rsidR="00036BA1" w:rsidRPr="00036BA1" w:rsidRDefault="00036BA1" w:rsidP="00036BA1">
      <w:pPr>
        <w:widowControl/>
        <w:contextualSpacing/>
        <w:rPr>
          <w:rFonts w:ascii="Times New Roman" w:hAnsi="Times New Roman" w:cs="Times New Roman"/>
          <w:b/>
          <w:bCs/>
          <w:sz w:val="24"/>
          <w:szCs w:val="24"/>
          <w:shd w:val="clear" w:color="auto" w:fill="FFFFFF"/>
        </w:rPr>
      </w:pPr>
      <w:r w:rsidRPr="00274084">
        <w:rPr>
          <w:rFonts w:ascii="Times New Roman" w:hAnsi="Times New Roman" w:cs="Times New Roman"/>
          <w:b/>
          <w:bCs/>
          <w:sz w:val="24"/>
          <w:szCs w:val="24"/>
          <w:shd w:val="clear" w:color="auto" w:fill="FFFFFF"/>
        </w:rPr>
        <w:t>SDG&amp;E Response:</w:t>
      </w:r>
      <w:r w:rsidR="008A23CE" w:rsidRPr="00274084">
        <w:rPr>
          <w:rFonts w:ascii="Times New Roman" w:hAnsi="Times New Roman" w:cs="Times New Roman"/>
          <w:b/>
          <w:bCs/>
          <w:sz w:val="24"/>
          <w:szCs w:val="24"/>
          <w:shd w:val="clear" w:color="auto" w:fill="FFFFFF"/>
        </w:rPr>
        <w:t xml:space="preserve"> </w:t>
      </w:r>
      <w:r w:rsidR="006B6ED7" w:rsidRPr="00274084">
        <w:rPr>
          <w:rFonts w:ascii="Times New Roman" w:hAnsi="Times New Roman" w:cs="Times New Roman"/>
          <w:bCs/>
          <w:sz w:val="24"/>
          <w:szCs w:val="24"/>
          <w:shd w:val="clear" w:color="auto" w:fill="FFFFFF"/>
        </w:rPr>
        <w:t>SDG</w:t>
      </w:r>
      <w:r w:rsidR="006B6ED7">
        <w:rPr>
          <w:rFonts w:ascii="Times New Roman" w:hAnsi="Times New Roman" w:cs="Times New Roman"/>
          <w:bCs/>
          <w:sz w:val="24"/>
          <w:szCs w:val="24"/>
          <w:shd w:val="clear" w:color="auto" w:fill="FFFFFF"/>
        </w:rPr>
        <w:t xml:space="preserve">&amp;E requested an extension to answer </w:t>
      </w:r>
      <w:r w:rsidR="00523859">
        <w:rPr>
          <w:rFonts w:ascii="Times New Roman" w:hAnsi="Times New Roman" w:cs="Times New Roman"/>
          <w:bCs/>
          <w:sz w:val="24"/>
          <w:szCs w:val="24"/>
          <w:shd w:val="clear" w:color="auto" w:fill="FFFFFF"/>
        </w:rPr>
        <w:t>Q</w:t>
      </w:r>
      <w:r w:rsidR="006B6ED7">
        <w:rPr>
          <w:rFonts w:ascii="Times New Roman" w:hAnsi="Times New Roman" w:cs="Times New Roman"/>
          <w:bCs/>
          <w:sz w:val="24"/>
          <w:szCs w:val="24"/>
          <w:shd w:val="clear" w:color="auto" w:fill="FFFFFF"/>
        </w:rPr>
        <w:t xml:space="preserve">uestion #1 </w:t>
      </w:r>
      <w:r w:rsidR="00274084">
        <w:rPr>
          <w:rFonts w:ascii="Times New Roman" w:hAnsi="Times New Roman" w:cs="Times New Roman"/>
          <w:bCs/>
          <w:sz w:val="24"/>
          <w:szCs w:val="24"/>
          <w:shd w:val="clear" w:color="auto" w:fill="FFFFFF"/>
        </w:rPr>
        <w:t>until January 30, 2020, which SDAP agreed to.</w:t>
      </w:r>
    </w:p>
    <w:p w14:paraId="2AC78F3C" w14:textId="77777777" w:rsidR="000C64AD" w:rsidRPr="00FD3D70" w:rsidRDefault="000C64AD" w:rsidP="000C64AD">
      <w:pPr>
        <w:rPr>
          <w:rFonts w:ascii="Times New Roman" w:hAnsi="Times New Roman" w:cs="Times New Roman"/>
          <w:sz w:val="24"/>
          <w:szCs w:val="24"/>
        </w:rPr>
      </w:pPr>
    </w:p>
    <w:p w14:paraId="44CECB89" w14:textId="77777777" w:rsidR="000C64AD" w:rsidRPr="00FD3D70" w:rsidRDefault="000C64AD" w:rsidP="000C64AD">
      <w:pPr>
        <w:pStyle w:val="ListParagraph"/>
        <w:widowControl/>
        <w:numPr>
          <w:ilvl w:val="0"/>
          <w:numId w:val="11"/>
        </w:numPr>
        <w:tabs>
          <w:tab w:val="clear" w:pos="630"/>
          <w:tab w:val="num" w:pos="540"/>
        </w:tabs>
        <w:ind w:left="540"/>
        <w:contextualSpacing/>
        <w:rPr>
          <w:rFonts w:ascii="Times New Roman" w:hAnsi="Times New Roman" w:cs="Times New Roman"/>
          <w:sz w:val="24"/>
          <w:szCs w:val="24"/>
        </w:rPr>
      </w:pPr>
      <w:r w:rsidRPr="00FD3D70">
        <w:rPr>
          <w:rFonts w:ascii="Times New Roman" w:hAnsi="Times New Roman" w:cs="Times New Roman"/>
          <w:sz w:val="24"/>
          <w:szCs w:val="24"/>
        </w:rPr>
        <w:t xml:space="preserve"> In response to an SDAP data request in A.19-03-002, dated October 17, 2019 and responded to on October 29, 2019. SDG&amp;E responded (see blue italic text below):</w:t>
      </w:r>
    </w:p>
    <w:p w14:paraId="4C631F56" w14:textId="77777777" w:rsidR="000C64AD" w:rsidRPr="00FD3D70" w:rsidRDefault="000C64AD" w:rsidP="000C64AD">
      <w:pPr>
        <w:rPr>
          <w:rFonts w:ascii="Times New Roman" w:hAnsi="Times New Roman" w:cs="Times New Roman"/>
          <w:b/>
          <w:bCs/>
          <w:color w:val="000000"/>
          <w:sz w:val="24"/>
          <w:szCs w:val="24"/>
        </w:rPr>
      </w:pPr>
    </w:p>
    <w:p w14:paraId="11B5F48C" w14:textId="77777777" w:rsidR="000C64AD" w:rsidRPr="00FD3D70" w:rsidRDefault="000C64AD" w:rsidP="000C64AD">
      <w:pPr>
        <w:rPr>
          <w:rFonts w:ascii="Times New Roman" w:hAnsi="Times New Roman" w:cs="Times New Roman"/>
          <w:color w:val="000000"/>
          <w:sz w:val="24"/>
          <w:szCs w:val="24"/>
        </w:rPr>
      </w:pPr>
      <w:r w:rsidRPr="00FD3D70">
        <w:rPr>
          <w:rFonts w:ascii="Times New Roman" w:hAnsi="Times New Roman" w:cs="Times New Roman"/>
          <w:b/>
          <w:color w:val="000000"/>
          <w:sz w:val="24"/>
          <w:szCs w:val="24"/>
        </w:rPr>
        <w:t>SDAP Question</w:t>
      </w:r>
      <w:r w:rsidRPr="00FD3D70">
        <w:rPr>
          <w:rFonts w:ascii="Times New Roman" w:hAnsi="Times New Roman" w:cs="Times New Roman"/>
          <w:bCs/>
          <w:color w:val="000000"/>
          <w:sz w:val="24"/>
          <w:szCs w:val="24"/>
        </w:rPr>
        <w:t>:</w:t>
      </w:r>
      <w:r w:rsidRPr="00FD3D70">
        <w:rPr>
          <w:rFonts w:ascii="Times New Roman" w:hAnsi="Times New Roman" w:cs="Times New Roman"/>
          <w:color w:val="000000"/>
          <w:sz w:val="24"/>
          <w:szCs w:val="24"/>
        </w:rPr>
        <w:t xml:space="preserve"> In 2018, the CAISO Day-Ahead hourly price exceeded 35 cents per kWh in 33 </w:t>
      </w:r>
      <w:r w:rsidRPr="00FD3D70">
        <w:rPr>
          <w:rFonts w:ascii="Times New Roman" w:hAnsi="Times New Roman" w:cs="Times New Roman"/>
          <w:color w:val="000000"/>
          <w:sz w:val="24"/>
          <w:szCs w:val="24"/>
        </w:rPr>
        <w:lastRenderedPageBreak/>
        <w:t>hours, with a maximum of $1.01 per kWh.  If that hour had been a CPP event hour, would the super-position of a $1.01 market price and a CPP adder result in double-counting capacity costs?</w:t>
      </w:r>
    </w:p>
    <w:p w14:paraId="0C734B38" w14:textId="77777777" w:rsidR="000C64AD" w:rsidRPr="00FD3D70" w:rsidRDefault="000C64AD" w:rsidP="000C64AD">
      <w:pPr>
        <w:rPr>
          <w:rFonts w:ascii="Times New Roman" w:hAnsi="Times New Roman" w:cs="Times New Roman"/>
          <w:color w:val="000000"/>
          <w:sz w:val="24"/>
          <w:szCs w:val="24"/>
        </w:rPr>
      </w:pPr>
    </w:p>
    <w:p w14:paraId="3E196B33" w14:textId="77777777" w:rsidR="000C64AD" w:rsidRPr="00FD3D70" w:rsidRDefault="000C64AD" w:rsidP="000C64AD">
      <w:pPr>
        <w:rPr>
          <w:rFonts w:ascii="Times New Roman" w:hAnsi="Times New Roman" w:cs="Times New Roman"/>
          <w:b/>
          <w:i/>
          <w:iCs/>
          <w:color w:val="0070C0"/>
          <w:sz w:val="24"/>
          <w:szCs w:val="24"/>
        </w:rPr>
      </w:pPr>
      <w:r w:rsidRPr="00FD3D70">
        <w:rPr>
          <w:rFonts w:ascii="Times New Roman" w:hAnsi="Times New Roman" w:cs="Times New Roman"/>
          <w:b/>
          <w:i/>
          <w:iCs/>
          <w:color w:val="0070C0"/>
          <w:sz w:val="24"/>
          <w:szCs w:val="24"/>
        </w:rPr>
        <w:t xml:space="preserve">SDG&amp;E Response: </w:t>
      </w:r>
    </w:p>
    <w:p w14:paraId="703264C8" w14:textId="77777777" w:rsidR="000C64AD" w:rsidRPr="00FD3D70" w:rsidRDefault="000C64AD" w:rsidP="000C64AD">
      <w:pPr>
        <w:rPr>
          <w:rFonts w:ascii="Times New Roman" w:hAnsi="Times New Roman" w:cs="Times New Roman"/>
          <w:i/>
          <w:iCs/>
          <w:color w:val="0070C0"/>
          <w:sz w:val="24"/>
          <w:szCs w:val="24"/>
        </w:rPr>
      </w:pPr>
      <w:r w:rsidRPr="00FD3D70">
        <w:rPr>
          <w:rFonts w:ascii="Times New Roman" w:hAnsi="Times New Roman" w:cs="Times New Roman"/>
          <w:i/>
          <w:iCs/>
          <w:color w:val="0070C0"/>
          <w:sz w:val="24"/>
          <w:szCs w:val="24"/>
        </w:rPr>
        <w:t>No, CAISO prices are energy only; the CAISO does not have a capacity market.</w:t>
      </w:r>
    </w:p>
    <w:p w14:paraId="58514404" w14:textId="77777777" w:rsidR="000C64AD" w:rsidRPr="00FD3D70" w:rsidRDefault="000C64AD" w:rsidP="000C64AD">
      <w:pPr>
        <w:rPr>
          <w:rFonts w:ascii="Times New Roman" w:hAnsi="Times New Roman" w:cs="Times New Roman"/>
          <w:b/>
          <w:color w:val="000000"/>
          <w:sz w:val="24"/>
          <w:szCs w:val="24"/>
        </w:rPr>
      </w:pPr>
    </w:p>
    <w:p w14:paraId="40AB34EE" w14:textId="77777777" w:rsidR="000C64AD" w:rsidRPr="00FD3D70" w:rsidRDefault="000C64AD" w:rsidP="000C64AD">
      <w:pPr>
        <w:shd w:val="clear" w:color="auto" w:fill="FFFFFF"/>
        <w:rPr>
          <w:rFonts w:ascii="Times New Roman" w:hAnsi="Times New Roman" w:cs="Times New Roman"/>
          <w:color w:val="000000"/>
          <w:sz w:val="24"/>
          <w:szCs w:val="24"/>
        </w:rPr>
      </w:pPr>
      <w:r w:rsidRPr="00FD3D70">
        <w:rPr>
          <w:rFonts w:ascii="Times New Roman" w:hAnsi="Times New Roman" w:cs="Times New Roman"/>
          <w:color w:val="000000"/>
          <w:sz w:val="24"/>
          <w:szCs w:val="24"/>
        </w:rPr>
        <w:tab/>
      </w:r>
      <w:r w:rsidRPr="00FD3D70">
        <w:rPr>
          <w:rFonts w:ascii="Times New Roman" w:hAnsi="Times New Roman" w:cs="Times New Roman"/>
          <w:b/>
          <w:color w:val="000000"/>
          <w:sz w:val="24"/>
          <w:szCs w:val="24"/>
        </w:rPr>
        <w:t>SDAP Q.</w:t>
      </w:r>
      <w:r w:rsidRPr="00FD3D70">
        <w:rPr>
          <w:rFonts w:ascii="Times New Roman" w:hAnsi="Times New Roman" w:cs="Times New Roman"/>
          <w:color w:val="000000"/>
          <w:sz w:val="24"/>
          <w:szCs w:val="24"/>
        </w:rPr>
        <w:t xml:space="preserve">  a.  Would SDG&amp;E agree that the CAISO day-ahead market price of $1.01 per kWh at hour 20 of 7/24/2018 exceeds the physical marginal energy cost in that hour (as determined by the physical heat rate (Btu/kWh) of the least efficient generating unit operating in that hour)?  If not, why not?</w:t>
      </w:r>
    </w:p>
    <w:p w14:paraId="031A6262" w14:textId="77777777" w:rsidR="000C64AD" w:rsidRPr="00FD3D70" w:rsidRDefault="000C64AD" w:rsidP="000C64AD">
      <w:pPr>
        <w:shd w:val="clear" w:color="auto" w:fill="FFFFFF"/>
        <w:rPr>
          <w:rFonts w:ascii="Times New Roman" w:hAnsi="Times New Roman" w:cs="Times New Roman"/>
          <w:color w:val="000000"/>
          <w:sz w:val="24"/>
          <w:szCs w:val="24"/>
        </w:rPr>
      </w:pPr>
    </w:p>
    <w:p w14:paraId="263D0DDD" w14:textId="66E611EF" w:rsidR="000C64AD" w:rsidRPr="00FD3D70" w:rsidRDefault="000C64AD" w:rsidP="000C64AD">
      <w:pPr>
        <w:rPr>
          <w:rFonts w:ascii="Times New Roman" w:hAnsi="Times New Roman" w:cs="Times New Roman"/>
          <w:i/>
          <w:iCs/>
          <w:color w:val="0070C0"/>
          <w:sz w:val="24"/>
          <w:szCs w:val="24"/>
        </w:rPr>
      </w:pPr>
      <w:r w:rsidRPr="00FD3D70">
        <w:rPr>
          <w:rFonts w:ascii="Times New Roman" w:hAnsi="Times New Roman" w:cs="Times New Roman"/>
          <w:b/>
          <w:bCs/>
          <w:i/>
          <w:iCs/>
          <w:color w:val="0070C0"/>
          <w:sz w:val="24"/>
          <w:szCs w:val="24"/>
        </w:rPr>
        <w:t>SDG&amp;E Response</w:t>
      </w:r>
      <w:r w:rsidRPr="00FD3D70">
        <w:rPr>
          <w:rFonts w:ascii="Times New Roman" w:hAnsi="Times New Roman" w:cs="Times New Roman"/>
          <w:i/>
          <w:iCs/>
          <w:color w:val="0070C0"/>
          <w:sz w:val="24"/>
          <w:szCs w:val="24"/>
        </w:rPr>
        <w:t>: For reference, the day ahead SoCal City Gate price in hour 20 of 7/24/2018 was $39.52. This implies a market heat rate of 25,557</w:t>
      </w:r>
      <w:r w:rsidR="00487B33">
        <w:rPr>
          <w:rFonts w:ascii="Times New Roman" w:hAnsi="Times New Roman" w:cs="Times New Roman"/>
          <w:i/>
          <w:iCs/>
          <w:color w:val="0070C0"/>
          <w:sz w:val="24"/>
          <w:szCs w:val="24"/>
        </w:rPr>
        <w:t>,</w:t>
      </w:r>
      <w:r w:rsidRPr="00FD3D70">
        <w:rPr>
          <w:rFonts w:ascii="Times New Roman" w:hAnsi="Times New Roman" w:cs="Times New Roman"/>
          <w:i/>
          <w:iCs/>
          <w:color w:val="0070C0"/>
          <w:sz w:val="24"/>
          <w:szCs w:val="24"/>
        </w:rPr>
        <w:t xml:space="preserve"> which exceeds the heat rate of the least efficient unit in the system, but the marginal energy cost does not account for Variable Operations and Maintenance Costs or the cost for starting up power plants.</w:t>
      </w:r>
    </w:p>
    <w:p w14:paraId="0F499CF9" w14:textId="77777777" w:rsidR="000C64AD" w:rsidRPr="00FD3D70" w:rsidRDefault="000C64AD" w:rsidP="000C64AD">
      <w:pPr>
        <w:shd w:val="clear" w:color="auto" w:fill="FFFFFF"/>
        <w:rPr>
          <w:rFonts w:ascii="Times New Roman" w:hAnsi="Times New Roman" w:cs="Times New Roman"/>
          <w:color w:val="000000"/>
          <w:sz w:val="24"/>
          <w:szCs w:val="24"/>
        </w:rPr>
      </w:pPr>
    </w:p>
    <w:p w14:paraId="1617C417" w14:textId="77777777" w:rsidR="000C64AD" w:rsidRPr="00FD3D70" w:rsidRDefault="000C64AD" w:rsidP="000C64AD">
      <w:pPr>
        <w:shd w:val="clear" w:color="auto" w:fill="FFFFFF"/>
        <w:rPr>
          <w:rFonts w:ascii="Times New Roman" w:hAnsi="Times New Roman" w:cs="Times New Roman"/>
          <w:color w:val="000000"/>
          <w:sz w:val="24"/>
          <w:szCs w:val="24"/>
        </w:rPr>
      </w:pPr>
      <w:r w:rsidRPr="00FD3D70">
        <w:rPr>
          <w:rFonts w:ascii="Times New Roman" w:hAnsi="Times New Roman" w:cs="Times New Roman"/>
          <w:color w:val="000000"/>
          <w:sz w:val="24"/>
          <w:szCs w:val="24"/>
        </w:rPr>
        <w:tab/>
      </w:r>
      <w:r w:rsidRPr="00FD3D70">
        <w:rPr>
          <w:rFonts w:ascii="Times New Roman" w:hAnsi="Times New Roman" w:cs="Times New Roman"/>
          <w:b/>
          <w:color w:val="000000"/>
          <w:sz w:val="24"/>
          <w:szCs w:val="24"/>
        </w:rPr>
        <w:t>SDAP Q</w:t>
      </w:r>
      <w:r w:rsidRPr="00FD3D70">
        <w:rPr>
          <w:rFonts w:ascii="Times New Roman" w:hAnsi="Times New Roman" w:cs="Times New Roman"/>
          <w:color w:val="000000"/>
          <w:sz w:val="24"/>
          <w:szCs w:val="24"/>
        </w:rPr>
        <w:t xml:space="preserve"> b.  Could the difference between the $1.01 CAISO day-ahead market price and the physical marginal energy cost be regarded as recovery of capacity-related cost in the CAISO day-ahead energy market? If not, why not?</w:t>
      </w:r>
    </w:p>
    <w:p w14:paraId="28CA72B6" w14:textId="77777777" w:rsidR="000C64AD" w:rsidRPr="00FD3D70" w:rsidRDefault="000C64AD" w:rsidP="000C64AD">
      <w:pPr>
        <w:shd w:val="clear" w:color="auto" w:fill="FFFFFF"/>
        <w:rPr>
          <w:rFonts w:ascii="Times New Roman" w:hAnsi="Times New Roman" w:cs="Times New Roman"/>
          <w:color w:val="000000"/>
          <w:sz w:val="24"/>
          <w:szCs w:val="24"/>
        </w:rPr>
      </w:pPr>
    </w:p>
    <w:p w14:paraId="799F671D" w14:textId="77777777" w:rsidR="000C64AD" w:rsidRPr="00FD3D70" w:rsidRDefault="000C64AD" w:rsidP="000C64AD">
      <w:pPr>
        <w:rPr>
          <w:rFonts w:ascii="Times New Roman" w:hAnsi="Times New Roman" w:cs="Times New Roman"/>
          <w:i/>
          <w:iCs/>
          <w:sz w:val="24"/>
          <w:szCs w:val="24"/>
        </w:rPr>
      </w:pPr>
      <w:r w:rsidRPr="00FD3D70">
        <w:rPr>
          <w:rFonts w:ascii="Times New Roman" w:hAnsi="Times New Roman" w:cs="Times New Roman"/>
          <w:b/>
          <w:i/>
          <w:iCs/>
          <w:color w:val="0070C0"/>
          <w:sz w:val="24"/>
          <w:szCs w:val="24"/>
        </w:rPr>
        <w:t>SDG&amp;E Response</w:t>
      </w:r>
      <w:r w:rsidRPr="00FD3D70">
        <w:rPr>
          <w:rFonts w:ascii="Times New Roman" w:hAnsi="Times New Roman" w:cs="Times New Roman"/>
          <w:b/>
          <w:color w:val="000000"/>
          <w:sz w:val="24"/>
          <w:szCs w:val="24"/>
        </w:rPr>
        <w:t xml:space="preserve">: </w:t>
      </w:r>
      <w:r w:rsidRPr="00FD3D70">
        <w:rPr>
          <w:rFonts w:ascii="Times New Roman" w:hAnsi="Times New Roman" w:cs="Times New Roman"/>
          <w:i/>
          <w:iCs/>
          <w:color w:val="0070C0"/>
          <w:sz w:val="24"/>
          <w:szCs w:val="24"/>
        </w:rPr>
        <w:t xml:space="preserve">The CAISO day-ahead market price is the marginal energy price in that hour. By definition, the marginal energy price not only covers the variable cost of the marginal unit dispatched in that hour, </w:t>
      </w:r>
      <w:r w:rsidRPr="00FD3D70">
        <w:rPr>
          <w:rFonts w:ascii="Times New Roman" w:hAnsi="Times New Roman" w:cs="Times New Roman"/>
          <w:b/>
          <w:bCs/>
          <w:i/>
          <w:iCs/>
          <w:color w:val="0070C0"/>
          <w:sz w:val="24"/>
          <w:szCs w:val="24"/>
        </w:rPr>
        <w:t>but any additional revenue contributes to recovery of the marginal unit’s fixed capacity- related costs.</w:t>
      </w:r>
      <w:r w:rsidRPr="00FD3D70">
        <w:rPr>
          <w:rFonts w:ascii="Times New Roman" w:hAnsi="Times New Roman" w:cs="Times New Roman"/>
          <w:b/>
          <w:bCs/>
          <w:color w:val="0070C0"/>
          <w:sz w:val="24"/>
          <w:szCs w:val="24"/>
        </w:rPr>
        <w:t xml:space="preserve">  </w:t>
      </w:r>
      <w:r w:rsidRPr="00FD3D70">
        <w:rPr>
          <w:rFonts w:ascii="Times New Roman" w:hAnsi="Times New Roman" w:cs="Times New Roman"/>
          <w:i/>
          <w:iCs/>
          <w:color w:val="000000"/>
          <w:sz w:val="24"/>
          <w:szCs w:val="24"/>
        </w:rPr>
        <w:t>(emphasis added by SDAP)</w:t>
      </w:r>
    </w:p>
    <w:p w14:paraId="7343A9CF" w14:textId="77777777" w:rsidR="000C64AD" w:rsidRPr="00FD3D70" w:rsidRDefault="000C64AD" w:rsidP="000C64AD">
      <w:pPr>
        <w:rPr>
          <w:rFonts w:ascii="Times New Roman" w:hAnsi="Times New Roman" w:cs="Times New Roman"/>
          <w:sz w:val="24"/>
          <w:szCs w:val="24"/>
        </w:rPr>
      </w:pPr>
    </w:p>
    <w:p w14:paraId="05D66828" w14:textId="77777777" w:rsidR="000C64AD" w:rsidRPr="00FD3D70" w:rsidRDefault="000C64AD" w:rsidP="000C64AD">
      <w:pPr>
        <w:rPr>
          <w:rFonts w:ascii="Times New Roman" w:hAnsi="Times New Roman" w:cs="Times New Roman"/>
          <w:b/>
          <w:color w:val="000000"/>
          <w:sz w:val="24"/>
          <w:szCs w:val="24"/>
        </w:rPr>
      </w:pPr>
    </w:p>
    <w:p w14:paraId="0D66870C" w14:textId="77777777" w:rsidR="000C64AD" w:rsidRPr="00FD3D70" w:rsidRDefault="000C64AD" w:rsidP="000C64AD">
      <w:pPr>
        <w:shd w:val="clear" w:color="auto" w:fill="FFFFFF"/>
        <w:rPr>
          <w:rFonts w:ascii="Times New Roman" w:hAnsi="Times New Roman" w:cs="Times New Roman"/>
          <w:b/>
          <w:color w:val="000000"/>
          <w:sz w:val="24"/>
          <w:szCs w:val="24"/>
        </w:rPr>
      </w:pPr>
      <w:r w:rsidRPr="00FD3D70">
        <w:rPr>
          <w:rFonts w:ascii="Times New Roman" w:hAnsi="Times New Roman" w:cs="Times New Roman"/>
          <w:b/>
          <w:color w:val="000000"/>
          <w:sz w:val="24"/>
          <w:szCs w:val="24"/>
        </w:rPr>
        <w:t>New SDAP question 12-3-19:</w:t>
      </w:r>
    </w:p>
    <w:p w14:paraId="315799E6" w14:textId="77777777" w:rsidR="000C64AD" w:rsidRPr="00FD3D70" w:rsidRDefault="000C64AD" w:rsidP="000C64AD">
      <w:pPr>
        <w:widowControl/>
        <w:rPr>
          <w:rFonts w:ascii="Times New Roman" w:hAnsi="Times New Roman" w:cs="Times New Roman"/>
          <w:sz w:val="24"/>
          <w:szCs w:val="24"/>
        </w:rPr>
      </w:pPr>
    </w:p>
    <w:p w14:paraId="08B7CB6C" w14:textId="77777777" w:rsidR="000C64AD" w:rsidRPr="00FD3D70" w:rsidRDefault="000C64AD" w:rsidP="000C64AD">
      <w:pPr>
        <w:widowControl/>
        <w:rPr>
          <w:rFonts w:ascii="Times New Roman" w:hAnsi="Times New Roman" w:cs="Times New Roman"/>
          <w:b/>
          <w:bCs/>
          <w:sz w:val="24"/>
          <w:szCs w:val="24"/>
        </w:rPr>
      </w:pPr>
      <w:r w:rsidRPr="00FD3D70">
        <w:rPr>
          <w:rFonts w:ascii="Times New Roman" w:hAnsi="Times New Roman" w:cs="Times New Roman"/>
          <w:sz w:val="24"/>
          <w:szCs w:val="24"/>
        </w:rPr>
        <w:t xml:space="preserve">If the </w:t>
      </w:r>
      <w:r w:rsidRPr="00FD3D70">
        <w:rPr>
          <w:rFonts w:ascii="Times New Roman" w:hAnsi="Times New Roman" w:cs="Times New Roman"/>
          <w:b/>
          <w:bCs/>
          <w:sz w:val="24"/>
          <w:szCs w:val="24"/>
        </w:rPr>
        <w:t>"additional revenue"</w:t>
      </w:r>
      <w:r w:rsidRPr="00FD3D70">
        <w:rPr>
          <w:rFonts w:ascii="Times New Roman" w:hAnsi="Times New Roman" w:cs="Times New Roman"/>
          <w:sz w:val="24"/>
          <w:szCs w:val="24"/>
        </w:rPr>
        <w:t xml:space="preserve"> referred to in SDG&amp;E's response:   “</w:t>
      </w:r>
      <w:r w:rsidRPr="00FD3D70">
        <w:rPr>
          <w:rFonts w:ascii="Times New Roman" w:hAnsi="Times New Roman" w:cs="Times New Roman"/>
          <w:b/>
          <w:bCs/>
          <w:sz w:val="24"/>
          <w:szCs w:val="24"/>
        </w:rPr>
        <w:t>any additional revenue contributes to recovery of the marginal unit’s fixed capacity- related costs."</w:t>
      </w:r>
    </w:p>
    <w:p w14:paraId="0E03B0ED" w14:textId="77777777" w:rsidR="000C64AD" w:rsidRPr="00FD3D70" w:rsidRDefault="000C64AD" w:rsidP="000C64AD">
      <w:pPr>
        <w:widowControl/>
        <w:rPr>
          <w:rFonts w:ascii="Times New Roman" w:hAnsi="Times New Roman" w:cs="Times New Roman"/>
          <w:sz w:val="24"/>
          <w:szCs w:val="24"/>
        </w:rPr>
      </w:pPr>
    </w:p>
    <w:p w14:paraId="3EA71A89" w14:textId="166AF871" w:rsidR="000C64AD" w:rsidRDefault="000C64AD" w:rsidP="000C64AD">
      <w:pPr>
        <w:widowControl/>
        <w:rPr>
          <w:rFonts w:ascii="Times New Roman" w:hAnsi="Times New Roman" w:cs="Times New Roman"/>
          <w:sz w:val="24"/>
          <w:szCs w:val="24"/>
          <w:shd w:val="clear" w:color="auto" w:fill="FFFFFF"/>
        </w:rPr>
      </w:pPr>
      <w:r w:rsidRPr="00FD3D70">
        <w:rPr>
          <w:rFonts w:ascii="Times New Roman" w:hAnsi="Times New Roman" w:cs="Times New Roman"/>
          <w:sz w:val="24"/>
          <w:szCs w:val="24"/>
          <w:shd w:val="clear" w:color="auto" w:fill="FFFFFF"/>
        </w:rPr>
        <w:t xml:space="preserve">recovers </w:t>
      </w:r>
      <w:r w:rsidRPr="00FD3D70">
        <w:rPr>
          <w:rFonts w:ascii="Times New Roman" w:hAnsi="Times New Roman" w:cs="Times New Roman"/>
          <w:sz w:val="24"/>
          <w:szCs w:val="24"/>
          <w:u w:val="single"/>
          <w:shd w:val="clear" w:color="auto" w:fill="FFFFFF"/>
        </w:rPr>
        <w:t>capacity-related</w:t>
      </w:r>
      <w:r w:rsidRPr="00FD3D70">
        <w:rPr>
          <w:rFonts w:ascii="Times New Roman" w:hAnsi="Times New Roman" w:cs="Times New Roman"/>
          <w:sz w:val="24"/>
          <w:szCs w:val="24"/>
          <w:shd w:val="clear" w:color="auto" w:fill="FFFFFF"/>
        </w:rPr>
        <w:t xml:space="preserve"> cost, and the System CPP adder </w:t>
      </w:r>
      <w:r w:rsidRPr="00FD3D70">
        <w:rPr>
          <w:rFonts w:ascii="Times New Roman" w:hAnsi="Times New Roman" w:cs="Times New Roman"/>
          <w:b/>
          <w:bCs/>
          <w:sz w:val="24"/>
          <w:szCs w:val="24"/>
          <w:shd w:val="clear" w:color="auto" w:fill="FFFFFF"/>
        </w:rPr>
        <w:t>also</w:t>
      </w:r>
      <w:r w:rsidRPr="00FD3D70">
        <w:rPr>
          <w:rFonts w:ascii="Times New Roman" w:hAnsi="Times New Roman" w:cs="Times New Roman"/>
          <w:sz w:val="24"/>
          <w:szCs w:val="24"/>
          <w:shd w:val="clear" w:color="auto" w:fill="FFFFFF"/>
        </w:rPr>
        <w:t xml:space="preserve"> collects </w:t>
      </w:r>
      <w:r w:rsidRPr="00FD3D70">
        <w:rPr>
          <w:rFonts w:ascii="Times New Roman" w:hAnsi="Times New Roman" w:cs="Times New Roman"/>
          <w:sz w:val="24"/>
          <w:szCs w:val="24"/>
          <w:u w:val="single"/>
          <w:shd w:val="clear" w:color="auto" w:fill="FFFFFF"/>
        </w:rPr>
        <w:t>capacity-related</w:t>
      </w:r>
      <w:r w:rsidRPr="00FD3D70">
        <w:rPr>
          <w:rFonts w:ascii="Times New Roman" w:hAnsi="Times New Roman" w:cs="Times New Roman"/>
          <w:sz w:val="24"/>
          <w:szCs w:val="24"/>
          <w:shd w:val="clear" w:color="auto" w:fill="FFFFFF"/>
        </w:rPr>
        <w:t xml:space="preserve"> costs, please explain why there is not double counting of capacity costs?</w:t>
      </w:r>
    </w:p>
    <w:p w14:paraId="20C9C10C" w14:textId="76FFB376" w:rsidR="00D23D12" w:rsidRDefault="00D23D12" w:rsidP="000C64AD">
      <w:pPr>
        <w:widowControl/>
        <w:rPr>
          <w:rFonts w:ascii="Times New Roman" w:hAnsi="Times New Roman" w:cs="Times New Roman"/>
          <w:sz w:val="24"/>
          <w:szCs w:val="24"/>
          <w:shd w:val="clear" w:color="auto" w:fill="FFFFFF"/>
        </w:rPr>
      </w:pPr>
    </w:p>
    <w:p w14:paraId="440B99E1" w14:textId="7CD646D5" w:rsidR="00D23D12" w:rsidRPr="00523859" w:rsidRDefault="00D23D12" w:rsidP="5D880557">
      <w:pPr>
        <w:widowControl/>
        <w:contextualSpacing/>
        <w:rPr>
          <w:rFonts w:ascii="Times New Roman" w:hAnsi="Times New Roman" w:cs="Times New Roman"/>
          <w:b/>
          <w:bCs/>
          <w:sz w:val="24"/>
          <w:szCs w:val="24"/>
        </w:rPr>
      </w:pPr>
      <w:r w:rsidRPr="00523859">
        <w:rPr>
          <w:rFonts w:ascii="Times New Roman" w:hAnsi="Times New Roman" w:cs="Times New Roman"/>
          <w:b/>
          <w:bCs/>
          <w:sz w:val="24"/>
          <w:szCs w:val="24"/>
          <w:shd w:val="clear" w:color="auto" w:fill="FFFFFF"/>
        </w:rPr>
        <w:t>SDG&amp;E Response:</w:t>
      </w:r>
      <w:r w:rsidR="0070745A" w:rsidRPr="00523859">
        <w:rPr>
          <w:rFonts w:ascii="Times New Roman" w:hAnsi="Times New Roman" w:cs="Times New Roman"/>
          <w:b/>
          <w:bCs/>
          <w:sz w:val="24"/>
          <w:szCs w:val="24"/>
          <w:shd w:val="clear" w:color="auto" w:fill="FFFFFF"/>
        </w:rPr>
        <w:t xml:space="preserve"> </w:t>
      </w:r>
    </w:p>
    <w:p w14:paraId="4A94A85B" w14:textId="43685A7B" w:rsidR="00D23D12" w:rsidRDefault="00D23D12" w:rsidP="000C64AD">
      <w:pPr>
        <w:widowControl/>
        <w:rPr>
          <w:rFonts w:ascii="Times New Roman" w:hAnsi="Times New Roman" w:cs="Times New Roman"/>
          <w:sz w:val="24"/>
          <w:szCs w:val="24"/>
        </w:rPr>
      </w:pPr>
    </w:p>
    <w:p w14:paraId="1563F954" w14:textId="1F25B3AC" w:rsidR="003A4A85" w:rsidRPr="00523859" w:rsidRDefault="003A4A85" w:rsidP="000C64AD">
      <w:pPr>
        <w:widowControl/>
        <w:rPr>
          <w:rFonts w:ascii="Times New Roman" w:eastAsia="Times New Roman" w:hAnsi="Times New Roman" w:cs="Times New Roman"/>
          <w:snapToGrid w:val="0"/>
          <w:color w:val="000000" w:themeColor="text1"/>
          <w:sz w:val="24"/>
          <w:szCs w:val="20"/>
        </w:rPr>
      </w:pPr>
      <w:r w:rsidRPr="00523859">
        <w:rPr>
          <w:rFonts w:ascii="Times New Roman" w:eastAsia="Times New Roman" w:hAnsi="Times New Roman" w:cs="Times New Roman"/>
          <w:snapToGrid w:val="0"/>
          <w:color w:val="000000" w:themeColor="text1"/>
          <w:sz w:val="24"/>
          <w:szCs w:val="20"/>
        </w:rPr>
        <w:t>The VGI/GIR rates are designed so that 50% of capacity costs are recovered in the base rate and 50% of capacity costs are recovered in the adder</w:t>
      </w:r>
      <w:r w:rsidR="00062B49" w:rsidRPr="00523859">
        <w:rPr>
          <w:rFonts w:ascii="Times New Roman" w:eastAsia="Times New Roman" w:hAnsi="Times New Roman" w:cs="Times New Roman"/>
          <w:snapToGrid w:val="0"/>
          <w:color w:val="000000" w:themeColor="text1"/>
          <w:sz w:val="24"/>
          <w:szCs w:val="20"/>
        </w:rPr>
        <w:t xml:space="preserve">. Therefore, there is no double counting of capacity costs as designed. </w:t>
      </w:r>
      <w:r w:rsidRPr="00523859">
        <w:rPr>
          <w:rFonts w:ascii="Times New Roman" w:eastAsia="Times New Roman" w:hAnsi="Times New Roman" w:cs="Times New Roman"/>
          <w:snapToGrid w:val="0"/>
          <w:color w:val="000000" w:themeColor="text1"/>
          <w:sz w:val="24"/>
          <w:szCs w:val="20"/>
        </w:rPr>
        <w:t xml:space="preserve"> </w:t>
      </w:r>
    </w:p>
    <w:p w14:paraId="2BB1DA94" w14:textId="77777777" w:rsidR="000C64AD" w:rsidRPr="00FD3D70" w:rsidRDefault="000C64AD" w:rsidP="000C64AD">
      <w:pPr>
        <w:widowControl/>
        <w:rPr>
          <w:rFonts w:ascii="Times New Roman" w:hAnsi="Times New Roman" w:cs="Times New Roman"/>
          <w:sz w:val="24"/>
          <w:szCs w:val="24"/>
        </w:rPr>
      </w:pPr>
    </w:p>
    <w:p w14:paraId="611B2D51" w14:textId="77777777" w:rsidR="000C64AD" w:rsidRPr="00FD3D70" w:rsidRDefault="000C64AD" w:rsidP="000C64AD">
      <w:pPr>
        <w:rPr>
          <w:rFonts w:ascii="Times New Roman" w:hAnsi="Times New Roman" w:cs="Times New Roman"/>
          <w:sz w:val="24"/>
          <w:szCs w:val="24"/>
        </w:rPr>
      </w:pPr>
    </w:p>
    <w:p w14:paraId="6AA65630" w14:textId="0C1B1905" w:rsidR="000C64AD" w:rsidRDefault="000C64AD" w:rsidP="000C64AD">
      <w:pPr>
        <w:pStyle w:val="ListParagraph"/>
        <w:widowControl/>
        <w:numPr>
          <w:ilvl w:val="0"/>
          <w:numId w:val="11"/>
        </w:numPr>
        <w:contextualSpacing/>
        <w:rPr>
          <w:rFonts w:ascii="Times New Roman" w:hAnsi="Times New Roman" w:cs="Times New Roman"/>
          <w:color w:val="000000"/>
          <w:sz w:val="24"/>
          <w:szCs w:val="24"/>
        </w:rPr>
      </w:pPr>
      <w:bookmarkStart w:id="0" w:name="_Hlk27562011"/>
      <w:r w:rsidRPr="00FD3D70">
        <w:rPr>
          <w:rFonts w:ascii="Times New Roman" w:hAnsi="Times New Roman" w:cs="Times New Roman"/>
          <w:color w:val="000000"/>
          <w:sz w:val="24"/>
          <w:szCs w:val="24"/>
        </w:rPr>
        <w:t xml:space="preserve"> Please provide SDGE’s Annual Average hourly window of Carbon Intensity for Electricity use for 2018 and 2019 for each hour (0-24) and provide this average by the month for each hour.  If not available then provide most current, please show this is an excel document.  </w:t>
      </w:r>
    </w:p>
    <w:p w14:paraId="069B84D9" w14:textId="24FCC077" w:rsidR="00D23D12" w:rsidRDefault="00D23D12" w:rsidP="00D23D12">
      <w:pPr>
        <w:widowControl/>
        <w:contextualSpacing/>
        <w:rPr>
          <w:rFonts w:ascii="Times New Roman" w:hAnsi="Times New Roman" w:cs="Times New Roman"/>
          <w:color w:val="000000"/>
          <w:sz w:val="24"/>
          <w:szCs w:val="24"/>
        </w:rPr>
      </w:pPr>
    </w:p>
    <w:p w14:paraId="1E551D4A" w14:textId="77777777" w:rsidR="00AF1E70" w:rsidRPr="00AF1E70" w:rsidRDefault="00D23D12" w:rsidP="00D23D12">
      <w:pPr>
        <w:widowControl/>
        <w:contextualSpacing/>
        <w:rPr>
          <w:rFonts w:ascii="Times New Roman" w:hAnsi="Times New Roman" w:cs="Times New Roman"/>
          <w:bCs/>
          <w:sz w:val="24"/>
          <w:szCs w:val="24"/>
          <w:shd w:val="clear" w:color="auto" w:fill="FFFFFF"/>
        </w:rPr>
      </w:pPr>
      <w:r w:rsidRPr="00AF1E70">
        <w:rPr>
          <w:rFonts w:ascii="Times New Roman" w:hAnsi="Times New Roman" w:cs="Times New Roman"/>
          <w:b/>
          <w:bCs/>
          <w:sz w:val="24"/>
          <w:szCs w:val="24"/>
          <w:shd w:val="clear" w:color="auto" w:fill="FFFFFF"/>
        </w:rPr>
        <w:t>SDG&amp;E Response:</w:t>
      </w:r>
      <w:r w:rsidR="00052D0B" w:rsidRPr="00AF1E70">
        <w:rPr>
          <w:rFonts w:ascii="Times New Roman" w:hAnsi="Times New Roman" w:cs="Times New Roman"/>
          <w:bCs/>
          <w:sz w:val="24"/>
          <w:szCs w:val="24"/>
          <w:shd w:val="clear" w:color="auto" w:fill="FFFFFF"/>
        </w:rPr>
        <w:t xml:space="preserve"> </w:t>
      </w:r>
    </w:p>
    <w:p w14:paraId="673C78E4" w14:textId="749C72DE" w:rsidR="00D23D12" w:rsidRPr="00AF1E70" w:rsidRDefault="00610991" w:rsidP="00D23D12">
      <w:pPr>
        <w:widowControl/>
        <w:contextualSpacing/>
        <w:rPr>
          <w:rFonts w:ascii="Times New Roman" w:hAnsi="Times New Roman" w:cs="Times New Roman"/>
          <w:bCs/>
          <w:sz w:val="24"/>
          <w:szCs w:val="24"/>
          <w:shd w:val="clear" w:color="auto" w:fill="FFFFFF"/>
        </w:rPr>
      </w:pPr>
      <w:r w:rsidRPr="00AF1E70">
        <w:rPr>
          <w:rFonts w:ascii="Times New Roman" w:hAnsi="Times New Roman" w:cs="Times New Roman"/>
          <w:bCs/>
          <w:sz w:val="24"/>
          <w:szCs w:val="24"/>
          <w:shd w:val="clear" w:color="auto" w:fill="FFFFFF"/>
        </w:rPr>
        <w:lastRenderedPageBreak/>
        <w:t xml:space="preserve">Please see the attached Excel file titled: </w:t>
      </w:r>
      <w:r w:rsidR="00773608">
        <w:rPr>
          <w:rFonts w:ascii="Times New Roman" w:hAnsi="Times New Roman" w:cs="Times New Roman"/>
          <w:bCs/>
          <w:sz w:val="24"/>
          <w:szCs w:val="24"/>
          <w:shd w:val="clear" w:color="auto" w:fill="FFFFFF"/>
        </w:rPr>
        <w:t>SDAP DR02 – Q3.xls</w:t>
      </w:r>
      <w:r w:rsidR="00A06E3D">
        <w:rPr>
          <w:rFonts w:ascii="Times New Roman" w:hAnsi="Times New Roman" w:cs="Times New Roman"/>
          <w:bCs/>
          <w:sz w:val="24"/>
          <w:szCs w:val="24"/>
          <w:shd w:val="clear" w:color="auto" w:fill="FFFFFF"/>
        </w:rPr>
        <w:t>x</w:t>
      </w:r>
    </w:p>
    <w:bookmarkEnd w:id="0"/>
    <w:p w14:paraId="0F706E19" w14:textId="77777777" w:rsidR="00D23D12" w:rsidRPr="00D23D12" w:rsidRDefault="00D23D12" w:rsidP="00D23D12">
      <w:pPr>
        <w:widowControl/>
        <w:contextualSpacing/>
        <w:rPr>
          <w:rFonts w:ascii="Times New Roman" w:hAnsi="Times New Roman" w:cs="Times New Roman"/>
          <w:color w:val="000000"/>
          <w:sz w:val="24"/>
          <w:szCs w:val="24"/>
        </w:rPr>
      </w:pPr>
    </w:p>
    <w:p w14:paraId="0A456082" w14:textId="77777777" w:rsidR="000C64AD" w:rsidRPr="00FD3D70" w:rsidRDefault="000C64AD" w:rsidP="000C64AD">
      <w:pPr>
        <w:rPr>
          <w:rFonts w:ascii="Times New Roman" w:hAnsi="Times New Roman" w:cs="Times New Roman"/>
          <w:color w:val="000000"/>
          <w:sz w:val="24"/>
          <w:szCs w:val="24"/>
          <w:shd w:val="clear" w:color="auto" w:fill="FFFFFF"/>
        </w:rPr>
      </w:pPr>
    </w:p>
    <w:p w14:paraId="22941260" w14:textId="77777777" w:rsidR="000C64AD" w:rsidRPr="00FD3D70" w:rsidRDefault="000C64AD" w:rsidP="000C64AD">
      <w:pPr>
        <w:pStyle w:val="ListParagraph"/>
        <w:widowControl/>
        <w:numPr>
          <w:ilvl w:val="0"/>
          <w:numId w:val="11"/>
        </w:numPr>
        <w:contextualSpacing/>
        <w:rPr>
          <w:rFonts w:ascii="Times New Roman" w:eastAsia="Times New Roman" w:hAnsi="Times New Roman" w:cs="Times New Roman"/>
          <w:b/>
          <w:snapToGrid w:val="0"/>
          <w:sz w:val="24"/>
          <w:szCs w:val="24"/>
          <w:shd w:val="clear" w:color="auto" w:fill="FFFFFF"/>
        </w:rPr>
      </w:pPr>
      <w:bookmarkStart w:id="1" w:name="_Hlk11915594"/>
      <w:r w:rsidRPr="00FD3D70">
        <w:rPr>
          <w:rFonts w:ascii="Times New Roman" w:eastAsia="Times New Roman" w:hAnsi="Times New Roman" w:cs="Times New Roman"/>
          <w:b/>
          <w:snapToGrid w:val="0"/>
          <w:sz w:val="24"/>
          <w:szCs w:val="24"/>
          <w:shd w:val="clear" w:color="auto" w:fill="FFFFFF"/>
        </w:rPr>
        <w:t xml:space="preserve">What is </w:t>
      </w:r>
      <w:r w:rsidRPr="00FD3D70">
        <w:rPr>
          <w:rFonts w:ascii="Times New Roman" w:hAnsi="Times New Roman" w:cs="Times New Roman"/>
          <w:b/>
          <w:snapToGrid w:val="0"/>
          <w:sz w:val="24"/>
          <w:szCs w:val="24"/>
          <w:shd w:val="clear" w:color="auto" w:fill="FFFFFF"/>
        </w:rPr>
        <w:t>The Historical Processed SDGE Caiso Day Ahead Hourly kWh price which is included in the hourly base rates for each hour in the year as it relates to the Dynamic Day Ahead Hourly Rates?</w:t>
      </w:r>
    </w:p>
    <w:p w14:paraId="2591BABA" w14:textId="77777777" w:rsidR="000C64AD" w:rsidRPr="00FD3D70" w:rsidRDefault="000C64AD" w:rsidP="000C64AD">
      <w:pPr>
        <w:pStyle w:val="ListParagraph"/>
        <w:widowControl/>
        <w:numPr>
          <w:ilvl w:val="1"/>
          <w:numId w:val="11"/>
        </w:numPr>
        <w:contextualSpacing/>
        <w:rPr>
          <w:rFonts w:ascii="Times New Roman" w:eastAsia="Times New Roman" w:hAnsi="Times New Roman" w:cs="Times New Roman"/>
          <w:b/>
          <w:snapToGrid w:val="0"/>
          <w:sz w:val="24"/>
          <w:szCs w:val="24"/>
          <w:shd w:val="clear" w:color="auto" w:fill="FFFFFF"/>
        </w:rPr>
      </w:pPr>
      <w:r w:rsidRPr="00FD3D70">
        <w:rPr>
          <w:rFonts w:ascii="Times New Roman" w:eastAsia="Times New Roman" w:hAnsi="Times New Roman" w:cs="Times New Roman"/>
          <w:b/>
          <w:snapToGrid w:val="0"/>
          <w:sz w:val="24"/>
          <w:szCs w:val="24"/>
          <w:shd w:val="clear" w:color="auto" w:fill="FFFFFF"/>
        </w:rPr>
        <w:t>Year 2018</w:t>
      </w:r>
    </w:p>
    <w:p w14:paraId="62B540D8" w14:textId="77777777" w:rsidR="000C64AD" w:rsidRPr="00FD3D70" w:rsidRDefault="000C64AD" w:rsidP="000C64AD">
      <w:pPr>
        <w:pStyle w:val="ListParagraph"/>
        <w:widowControl/>
        <w:numPr>
          <w:ilvl w:val="1"/>
          <w:numId w:val="11"/>
        </w:numPr>
        <w:contextualSpacing/>
        <w:rPr>
          <w:rFonts w:ascii="Times New Roman" w:eastAsia="Times New Roman" w:hAnsi="Times New Roman" w:cs="Times New Roman"/>
          <w:b/>
          <w:snapToGrid w:val="0"/>
          <w:sz w:val="24"/>
          <w:szCs w:val="24"/>
          <w:shd w:val="clear" w:color="auto" w:fill="FFFFFF"/>
        </w:rPr>
      </w:pPr>
      <w:r w:rsidRPr="00FD3D70">
        <w:rPr>
          <w:rFonts w:ascii="Times New Roman" w:eastAsia="Times New Roman" w:hAnsi="Times New Roman" w:cs="Times New Roman"/>
          <w:b/>
          <w:snapToGrid w:val="0"/>
          <w:sz w:val="24"/>
          <w:szCs w:val="24"/>
          <w:shd w:val="clear" w:color="auto" w:fill="FFFFFF"/>
        </w:rPr>
        <w:t xml:space="preserve">Year 2019 thru to current date at time of responding. </w:t>
      </w:r>
    </w:p>
    <w:p w14:paraId="5E857F0D" w14:textId="77777777" w:rsidR="000C64AD" w:rsidRPr="00FD3D70" w:rsidRDefault="000C64AD" w:rsidP="000C64AD">
      <w:pPr>
        <w:pStyle w:val="ListParagraph"/>
        <w:widowControl/>
        <w:numPr>
          <w:ilvl w:val="1"/>
          <w:numId w:val="11"/>
        </w:numPr>
        <w:contextualSpacing/>
        <w:rPr>
          <w:rFonts w:ascii="Times New Roman" w:eastAsia="Times New Roman" w:hAnsi="Times New Roman" w:cs="Times New Roman"/>
          <w:b/>
          <w:snapToGrid w:val="0"/>
          <w:sz w:val="24"/>
          <w:szCs w:val="24"/>
          <w:shd w:val="clear" w:color="auto" w:fill="FFFFFF"/>
        </w:rPr>
      </w:pPr>
      <w:r w:rsidRPr="00FD3D70">
        <w:rPr>
          <w:rFonts w:ascii="Times New Roman" w:eastAsia="Times New Roman" w:hAnsi="Times New Roman" w:cs="Times New Roman"/>
          <w:b/>
          <w:snapToGrid w:val="0"/>
          <w:sz w:val="24"/>
          <w:szCs w:val="24"/>
          <w:shd w:val="clear" w:color="auto" w:fill="FFFFFF"/>
        </w:rPr>
        <w:t>See example from proceeding 17-01-020 SDGE answer on 2-6-17 SDAP DR 01, Question 16  (this answer was provided to me in an excel document from SDGE with the 2016 historical data, I am looking for the same answer except for the historical information from 2018 and 2019)</w:t>
      </w:r>
    </w:p>
    <w:p w14:paraId="4267F4BB" w14:textId="330544F1" w:rsidR="000C64AD" w:rsidRPr="009B3043" w:rsidRDefault="000C64AD" w:rsidP="000C64AD">
      <w:pPr>
        <w:pStyle w:val="ListParagraph"/>
        <w:widowControl/>
        <w:numPr>
          <w:ilvl w:val="1"/>
          <w:numId w:val="11"/>
        </w:numPr>
        <w:contextualSpacing/>
        <w:rPr>
          <w:rFonts w:ascii="Times New Roman" w:eastAsia="Times New Roman" w:hAnsi="Times New Roman" w:cs="Times New Roman"/>
          <w:b/>
          <w:snapToGrid w:val="0"/>
          <w:sz w:val="24"/>
          <w:szCs w:val="24"/>
          <w:shd w:val="clear" w:color="auto" w:fill="FFFFFF"/>
        </w:rPr>
      </w:pPr>
      <w:r w:rsidRPr="00FD3D70">
        <w:rPr>
          <w:rFonts w:ascii="Times New Roman" w:hAnsi="Times New Roman" w:cs="Times New Roman"/>
          <w:b/>
          <w:snapToGrid w:val="0"/>
          <w:sz w:val="24"/>
          <w:szCs w:val="24"/>
          <w:shd w:val="clear" w:color="auto" w:fill="FFFFFF"/>
        </w:rPr>
        <w:t xml:space="preserve">Please show this in a work paper.  </w:t>
      </w:r>
    </w:p>
    <w:p w14:paraId="6C329941" w14:textId="5A38D99C" w:rsidR="009B3043" w:rsidRDefault="009B3043" w:rsidP="009B3043">
      <w:pPr>
        <w:widowControl/>
        <w:contextualSpacing/>
        <w:rPr>
          <w:rFonts w:ascii="Times New Roman" w:eastAsia="Times New Roman" w:hAnsi="Times New Roman" w:cs="Times New Roman"/>
          <w:b/>
          <w:snapToGrid w:val="0"/>
          <w:sz w:val="24"/>
          <w:szCs w:val="24"/>
          <w:shd w:val="clear" w:color="auto" w:fill="FFFFFF"/>
        </w:rPr>
      </w:pPr>
    </w:p>
    <w:p w14:paraId="27A84ABD" w14:textId="0B10CAA4" w:rsidR="00E268AB" w:rsidRDefault="009B3043" w:rsidP="00E043B1">
      <w:pPr>
        <w:rPr>
          <w:rFonts w:ascii="Times New Roman" w:hAnsi="Times New Roman" w:cs="Times New Roman"/>
          <w:b/>
          <w:bCs/>
          <w:sz w:val="24"/>
          <w:szCs w:val="24"/>
          <w:shd w:val="clear" w:color="auto" w:fill="FFFFFF"/>
        </w:rPr>
      </w:pPr>
      <w:r w:rsidRPr="002C4272">
        <w:rPr>
          <w:rFonts w:ascii="Times New Roman" w:hAnsi="Times New Roman" w:cs="Times New Roman"/>
          <w:b/>
          <w:bCs/>
          <w:sz w:val="24"/>
          <w:szCs w:val="24"/>
          <w:shd w:val="clear" w:color="auto" w:fill="FFFFFF"/>
        </w:rPr>
        <w:t>SDG&amp;E Response:</w:t>
      </w:r>
      <w:r w:rsidR="00052D0B" w:rsidRPr="002C4272">
        <w:rPr>
          <w:rFonts w:ascii="Times New Roman" w:hAnsi="Times New Roman" w:cs="Times New Roman"/>
          <w:b/>
          <w:bCs/>
          <w:sz w:val="24"/>
          <w:szCs w:val="24"/>
          <w:shd w:val="clear" w:color="auto" w:fill="FFFFFF"/>
        </w:rPr>
        <w:t xml:space="preserve"> </w:t>
      </w:r>
      <w:r w:rsidR="00E268AB" w:rsidRPr="00134C25">
        <w:rPr>
          <w:rFonts w:ascii="Times New Roman" w:hAnsi="Times New Roman" w:cs="Times New Roman"/>
          <w:bCs/>
          <w:sz w:val="24"/>
          <w:szCs w:val="24"/>
          <w:shd w:val="clear" w:color="auto" w:fill="FFFFFF"/>
        </w:rPr>
        <w:t>SDG&amp;E objects to this request to the extent it seeks information that is not within SDG&amp;E’s control and possession and</w:t>
      </w:r>
      <w:r w:rsidR="00E268AB">
        <w:rPr>
          <w:rFonts w:ascii="Times New Roman" w:hAnsi="Times New Roman" w:cs="Times New Roman"/>
          <w:bCs/>
          <w:sz w:val="24"/>
          <w:szCs w:val="24"/>
          <w:shd w:val="clear" w:color="auto" w:fill="FFFFFF"/>
        </w:rPr>
        <w:t>/or</w:t>
      </w:r>
      <w:r w:rsidR="00E268AB" w:rsidRPr="00BE514A">
        <w:rPr>
          <w:rFonts w:ascii="Times New Roman" w:hAnsi="Times New Roman" w:cs="Times New Roman"/>
          <w:bCs/>
          <w:sz w:val="24"/>
          <w:szCs w:val="24"/>
          <w:shd w:val="clear" w:color="auto" w:fill="FFFFFF"/>
        </w:rPr>
        <w:t xml:space="preserve"> that is equally available to SDAP.  Subject to and without waiving this objection, SDG&amp;E responds as follows:</w:t>
      </w:r>
      <w:r w:rsidR="00E268AB">
        <w:rPr>
          <w:rFonts w:ascii="Times New Roman" w:hAnsi="Times New Roman" w:cs="Times New Roman"/>
          <w:b/>
          <w:bCs/>
          <w:sz w:val="24"/>
          <w:szCs w:val="24"/>
          <w:shd w:val="clear" w:color="auto" w:fill="FFFFFF"/>
        </w:rPr>
        <w:t xml:space="preserve">  </w:t>
      </w:r>
    </w:p>
    <w:p w14:paraId="282B522E" w14:textId="77777777" w:rsidR="00E268AB" w:rsidRDefault="00E268AB" w:rsidP="00E043B1">
      <w:pPr>
        <w:rPr>
          <w:rFonts w:ascii="Times New Roman" w:hAnsi="Times New Roman" w:cs="Times New Roman"/>
          <w:b/>
          <w:bCs/>
          <w:sz w:val="24"/>
          <w:szCs w:val="24"/>
          <w:shd w:val="clear" w:color="auto" w:fill="FFFFFF"/>
        </w:rPr>
      </w:pPr>
    </w:p>
    <w:p w14:paraId="7CD1A9D3" w14:textId="7E47EBBB" w:rsidR="00E043B1" w:rsidRPr="008B5365" w:rsidRDefault="00E043B1" w:rsidP="00E043B1">
      <w:pPr>
        <w:rPr>
          <w:rFonts w:ascii="Times New Roman" w:hAnsi="Times New Roman" w:cs="Times New Roman"/>
          <w:sz w:val="24"/>
          <w:szCs w:val="24"/>
          <w:shd w:val="clear" w:color="auto" w:fill="FFFFFF"/>
        </w:rPr>
      </w:pPr>
      <w:r w:rsidRPr="002C4272">
        <w:rPr>
          <w:rFonts w:ascii="Times New Roman" w:eastAsia="Times New Roman" w:hAnsi="Times New Roman" w:cs="Times New Roman"/>
          <w:snapToGrid w:val="0"/>
          <w:sz w:val="24"/>
          <w:szCs w:val="20"/>
        </w:rPr>
        <w:t xml:space="preserve">CAISO historical prices can be found on the Public California ISO Open Access Same-time Information System: </w:t>
      </w:r>
      <w:hyperlink r:id="rId9" w:history="1">
        <w:r w:rsidRPr="008B5365">
          <w:rPr>
            <w:rStyle w:val="Hyperlink"/>
            <w:rFonts w:ascii="Times New Roman" w:hAnsi="Times New Roman" w:cs="Times New Roman"/>
            <w:color w:val="auto"/>
            <w:sz w:val="24"/>
            <w:szCs w:val="24"/>
          </w:rPr>
          <w:t>http://oasis.caiso.com/mrioasis/logon.do</w:t>
        </w:r>
      </w:hyperlink>
    </w:p>
    <w:p w14:paraId="269E6CB0" w14:textId="77777777" w:rsidR="00E043B1" w:rsidRPr="002C4272" w:rsidRDefault="00E043B1" w:rsidP="009B3043">
      <w:pPr>
        <w:widowControl/>
        <w:contextualSpacing/>
        <w:rPr>
          <w:rFonts w:ascii="Times New Roman" w:eastAsia="Times New Roman" w:hAnsi="Times New Roman" w:cs="Times New Roman"/>
          <w:snapToGrid w:val="0"/>
          <w:sz w:val="24"/>
          <w:szCs w:val="20"/>
        </w:rPr>
      </w:pPr>
    </w:p>
    <w:p w14:paraId="681DEAA0" w14:textId="1E53C5E6" w:rsidR="00CE2359" w:rsidRPr="00B85D13" w:rsidRDefault="004509C2" w:rsidP="009B3043">
      <w:pPr>
        <w:widowControl/>
        <w:contextualSpacing/>
        <w:rPr>
          <w:rFonts w:ascii="Times New Roman" w:hAnsi="Times New Roman" w:cs="Times New Roman"/>
          <w:b/>
          <w:bCs/>
          <w:sz w:val="24"/>
          <w:szCs w:val="24"/>
          <w:shd w:val="clear" w:color="auto" w:fill="FFFFFF"/>
        </w:rPr>
      </w:pPr>
      <w:r w:rsidRPr="00B85D13">
        <w:rPr>
          <w:rFonts w:ascii="Times New Roman" w:eastAsia="Times New Roman" w:hAnsi="Times New Roman" w:cs="Times New Roman"/>
          <w:snapToGrid w:val="0"/>
          <w:sz w:val="24"/>
          <w:szCs w:val="20"/>
        </w:rPr>
        <w:t xml:space="preserve">See </w:t>
      </w:r>
      <w:r w:rsidR="00AD3D0C">
        <w:rPr>
          <w:rFonts w:ascii="Times New Roman" w:eastAsia="Times New Roman" w:hAnsi="Times New Roman" w:cs="Times New Roman"/>
          <w:snapToGrid w:val="0"/>
          <w:sz w:val="24"/>
          <w:szCs w:val="20"/>
        </w:rPr>
        <w:t xml:space="preserve">the </w:t>
      </w:r>
      <w:r w:rsidRPr="00B85D13">
        <w:rPr>
          <w:rFonts w:ascii="Times New Roman" w:eastAsia="Times New Roman" w:hAnsi="Times New Roman" w:cs="Times New Roman"/>
          <w:snapToGrid w:val="0"/>
          <w:sz w:val="24"/>
          <w:szCs w:val="20"/>
        </w:rPr>
        <w:t xml:space="preserve">attached workpaper </w:t>
      </w:r>
      <w:r w:rsidR="00AD3D0C">
        <w:rPr>
          <w:rFonts w:ascii="Times New Roman" w:eastAsia="Times New Roman" w:hAnsi="Times New Roman" w:cs="Times New Roman"/>
          <w:snapToGrid w:val="0"/>
          <w:sz w:val="24"/>
          <w:szCs w:val="20"/>
        </w:rPr>
        <w:t xml:space="preserve">titled: </w:t>
      </w:r>
      <w:r w:rsidRPr="00B85D13">
        <w:rPr>
          <w:rFonts w:ascii="Times New Roman" w:eastAsia="Times New Roman" w:hAnsi="Times New Roman" w:cs="Times New Roman"/>
          <w:snapToGrid w:val="0"/>
          <w:sz w:val="24"/>
          <w:szCs w:val="20"/>
        </w:rPr>
        <w:t>“SDAP DR 0</w:t>
      </w:r>
      <w:r w:rsidR="00983275" w:rsidRPr="00B85D13">
        <w:rPr>
          <w:rFonts w:ascii="Times New Roman" w:eastAsia="Times New Roman" w:hAnsi="Times New Roman" w:cs="Times New Roman"/>
          <w:snapToGrid w:val="0"/>
          <w:sz w:val="24"/>
          <w:szCs w:val="20"/>
        </w:rPr>
        <w:t xml:space="preserve">2 – </w:t>
      </w:r>
      <w:r w:rsidRPr="00B85D13">
        <w:rPr>
          <w:rFonts w:ascii="Times New Roman" w:eastAsia="Times New Roman" w:hAnsi="Times New Roman" w:cs="Times New Roman"/>
          <w:snapToGrid w:val="0"/>
          <w:sz w:val="24"/>
          <w:szCs w:val="20"/>
        </w:rPr>
        <w:t>Q</w:t>
      </w:r>
      <w:r w:rsidR="00B85D13" w:rsidRPr="00B85D13">
        <w:rPr>
          <w:rFonts w:ascii="Times New Roman" w:eastAsia="Times New Roman" w:hAnsi="Times New Roman" w:cs="Times New Roman"/>
          <w:snapToGrid w:val="0"/>
          <w:sz w:val="24"/>
          <w:szCs w:val="20"/>
        </w:rPr>
        <w:t>4</w:t>
      </w:r>
      <w:r w:rsidRPr="00B85D13">
        <w:rPr>
          <w:rFonts w:ascii="Times New Roman" w:eastAsia="Times New Roman" w:hAnsi="Times New Roman" w:cs="Times New Roman"/>
          <w:snapToGrid w:val="0"/>
          <w:sz w:val="24"/>
          <w:szCs w:val="20"/>
        </w:rPr>
        <w:t>.xlsx”</w:t>
      </w:r>
    </w:p>
    <w:p w14:paraId="52010C4A" w14:textId="77777777" w:rsidR="009B3043" w:rsidRPr="009B3043" w:rsidRDefault="009B3043" w:rsidP="009B3043">
      <w:pPr>
        <w:widowControl/>
        <w:contextualSpacing/>
        <w:rPr>
          <w:rFonts w:ascii="Times New Roman" w:eastAsia="Times New Roman" w:hAnsi="Times New Roman" w:cs="Times New Roman"/>
          <w:b/>
          <w:snapToGrid w:val="0"/>
          <w:sz w:val="24"/>
          <w:szCs w:val="24"/>
          <w:shd w:val="clear" w:color="auto" w:fill="FFFFFF"/>
        </w:rPr>
      </w:pPr>
    </w:p>
    <w:bookmarkEnd w:id="1"/>
    <w:p w14:paraId="29249010" w14:textId="77777777" w:rsidR="000C64AD" w:rsidRPr="00FD3D70" w:rsidRDefault="000C64AD" w:rsidP="000C64AD">
      <w:pPr>
        <w:rPr>
          <w:rFonts w:ascii="Times New Roman" w:hAnsi="Times New Roman" w:cs="Times New Roman"/>
          <w:sz w:val="24"/>
          <w:szCs w:val="24"/>
          <w:shd w:val="clear" w:color="auto" w:fill="FFFFFF"/>
        </w:rPr>
      </w:pPr>
    </w:p>
    <w:p w14:paraId="7AB77F64" w14:textId="77777777" w:rsidR="000C64AD" w:rsidRPr="00FD3D70" w:rsidRDefault="000C64AD" w:rsidP="000C64AD">
      <w:pPr>
        <w:pStyle w:val="ListParagraph"/>
        <w:widowControl/>
        <w:numPr>
          <w:ilvl w:val="0"/>
          <w:numId w:val="11"/>
        </w:numPr>
        <w:contextualSpacing/>
        <w:rPr>
          <w:rFonts w:ascii="Times New Roman" w:eastAsia="Times New Roman" w:hAnsi="Times New Roman" w:cs="Times New Roman"/>
          <w:b/>
          <w:snapToGrid w:val="0"/>
          <w:sz w:val="24"/>
          <w:szCs w:val="24"/>
          <w:shd w:val="clear" w:color="auto" w:fill="FFFFFF"/>
        </w:rPr>
      </w:pPr>
      <w:r w:rsidRPr="00FD3D70">
        <w:rPr>
          <w:rFonts w:ascii="Times New Roman" w:hAnsi="Times New Roman" w:cs="Times New Roman"/>
          <w:b/>
          <w:snapToGrid w:val="0"/>
          <w:sz w:val="24"/>
          <w:szCs w:val="24"/>
          <w:shd w:val="clear" w:color="auto" w:fill="FFFFFF"/>
        </w:rPr>
        <w:t xml:space="preserve">What are the Event Dates and Hours in 2018 and 2019 for SDAP in the C-CPP top 150 hours and D-CPP top 200 hours.  Please provide this thru current date at time of responding.  </w:t>
      </w:r>
    </w:p>
    <w:p w14:paraId="6C9F0767" w14:textId="77777777" w:rsidR="000C64AD" w:rsidRPr="00FD3D70" w:rsidRDefault="000C64AD" w:rsidP="000C64AD">
      <w:pPr>
        <w:pStyle w:val="ListParagraph"/>
        <w:widowControl/>
        <w:numPr>
          <w:ilvl w:val="1"/>
          <w:numId w:val="11"/>
        </w:numPr>
        <w:contextualSpacing/>
        <w:rPr>
          <w:rFonts w:ascii="Times New Roman" w:eastAsia="Times New Roman" w:hAnsi="Times New Roman" w:cs="Times New Roman"/>
          <w:b/>
          <w:bCs/>
          <w:snapToGrid w:val="0"/>
          <w:sz w:val="24"/>
          <w:szCs w:val="24"/>
          <w:shd w:val="clear" w:color="auto" w:fill="FFFFFF"/>
        </w:rPr>
      </w:pPr>
      <w:r w:rsidRPr="00FD3D70">
        <w:rPr>
          <w:rFonts w:ascii="Times New Roman" w:eastAsia="Times New Roman" w:hAnsi="Times New Roman" w:cs="Times New Roman"/>
          <w:b/>
          <w:bCs/>
          <w:snapToGrid w:val="0"/>
          <w:sz w:val="24"/>
          <w:szCs w:val="24"/>
          <w:shd w:val="clear" w:color="auto" w:fill="FFFFFF"/>
        </w:rPr>
        <w:t>See example from proceeding 17-01-020 SDGE answer on 3-7-17 SDAP DR 02, Question 20  (this answer was provided to me in an excel document from SDGE with the 2016 historical circuit data, I am looking for the same answer except for the historical information will be from 2018 and 2019)</w:t>
      </w:r>
    </w:p>
    <w:p w14:paraId="2BEBDFCC" w14:textId="5D4B80C7" w:rsidR="000C64AD" w:rsidRPr="009B3043" w:rsidRDefault="000C64AD" w:rsidP="000C64AD">
      <w:pPr>
        <w:pStyle w:val="ListParagraph"/>
        <w:widowControl/>
        <w:numPr>
          <w:ilvl w:val="3"/>
          <w:numId w:val="11"/>
        </w:numPr>
        <w:contextualSpacing/>
        <w:rPr>
          <w:rFonts w:ascii="Times New Roman" w:eastAsia="Times New Roman" w:hAnsi="Times New Roman" w:cs="Times New Roman"/>
          <w:b/>
          <w:bCs/>
          <w:snapToGrid w:val="0"/>
          <w:sz w:val="24"/>
          <w:szCs w:val="24"/>
          <w:shd w:val="clear" w:color="auto" w:fill="FFFFFF"/>
        </w:rPr>
      </w:pPr>
      <w:r w:rsidRPr="00FD3D70">
        <w:rPr>
          <w:rFonts w:ascii="Times New Roman" w:eastAsia="Times New Roman" w:hAnsi="Times New Roman" w:cs="Times New Roman"/>
          <w:b/>
          <w:bCs/>
          <w:snapToGrid w:val="0"/>
          <w:sz w:val="24"/>
          <w:szCs w:val="24"/>
          <w:shd w:val="clear" w:color="auto" w:fill="FFFFFF"/>
        </w:rPr>
        <w:t xml:space="preserve"> </w:t>
      </w:r>
      <w:r w:rsidRPr="00FD3D70">
        <w:rPr>
          <w:rFonts w:ascii="Times New Roman" w:hAnsi="Times New Roman" w:cs="Times New Roman"/>
          <w:b/>
          <w:bCs/>
          <w:snapToGrid w:val="0"/>
          <w:sz w:val="24"/>
          <w:szCs w:val="24"/>
          <w:shd w:val="clear" w:color="auto" w:fill="FFFFFF"/>
        </w:rPr>
        <w:t xml:space="preserve">Please show this in a work paper. </w:t>
      </w:r>
    </w:p>
    <w:p w14:paraId="3498484E" w14:textId="253EB9CB" w:rsidR="009B3043" w:rsidRDefault="009B3043" w:rsidP="009B3043">
      <w:pPr>
        <w:widowControl/>
        <w:contextualSpacing/>
        <w:rPr>
          <w:rFonts w:ascii="Times New Roman" w:eastAsia="Times New Roman" w:hAnsi="Times New Roman" w:cs="Times New Roman"/>
          <w:b/>
          <w:bCs/>
          <w:snapToGrid w:val="0"/>
          <w:sz w:val="24"/>
          <w:szCs w:val="24"/>
          <w:shd w:val="clear" w:color="auto" w:fill="FFFFFF"/>
        </w:rPr>
      </w:pPr>
    </w:p>
    <w:p w14:paraId="540C349B" w14:textId="53A6A381" w:rsidR="00ED531D" w:rsidRPr="000E4C99" w:rsidRDefault="009B3043" w:rsidP="009B3043">
      <w:pPr>
        <w:widowControl/>
        <w:contextualSpacing/>
        <w:rPr>
          <w:rFonts w:ascii="Times New Roman" w:hAnsi="Times New Roman" w:cs="Times New Roman"/>
          <w:b/>
          <w:bCs/>
          <w:sz w:val="24"/>
          <w:szCs w:val="24"/>
          <w:shd w:val="clear" w:color="auto" w:fill="FFFFFF"/>
        </w:rPr>
      </w:pPr>
      <w:r w:rsidRPr="000E4C99">
        <w:rPr>
          <w:rFonts w:ascii="Times New Roman" w:hAnsi="Times New Roman" w:cs="Times New Roman"/>
          <w:b/>
          <w:bCs/>
          <w:sz w:val="24"/>
          <w:szCs w:val="24"/>
          <w:shd w:val="clear" w:color="auto" w:fill="FFFFFF"/>
        </w:rPr>
        <w:t>SDG&amp;E Response:</w:t>
      </w:r>
      <w:r w:rsidR="00681682" w:rsidRPr="000E4C99">
        <w:rPr>
          <w:rFonts w:ascii="Times New Roman" w:hAnsi="Times New Roman" w:cs="Times New Roman"/>
          <w:b/>
          <w:bCs/>
          <w:sz w:val="24"/>
          <w:szCs w:val="24"/>
          <w:shd w:val="clear" w:color="auto" w:fill="FFFFFF"/>
        </w:rPr>
        <w:t xml:space="preserve"> </w:t>
      </w:r>
    </w:p>
    <w:p w14:paraId="29C668B9" w14:textId="0A5A800B" w:rsidR="00E268AB" w:rsidRDefault="00E268AB" w:rsidP="00E268AB">
      <w:pPr>
        <w:widowControl/>
        <w:contextualSpacing/>
        <w:rPr>
          <w:rFonts w:ascii="Times New Roman" w:eastAsia="Times New Roman" w:hAnsi="Times New Roman" w:cs="Times New Roman"/>
          <w:b/>
          <w:bCs/>
          <w:sz w:val="24"/>
          <w:szCs w:val="24"/>
        </w:rPr>
      </w:pPr>
      <w:r w:rsidRPr="00E268AB">
        <w:rPr>
          <w:rFonts w:ascii="Times New Roman" w:eastAsia="Times New Roman" w:hAnsi="Times New Roman" w:cs="Times New Roman"/>
          <w:bCs/>
          <w:sz w:val="24"/>
          <w:szCs w:val="24"/>
        </w:rPr>
        <w:t>SDG&amp;E objects to this request to the extent it seeks information that is not within SDG&amp;E’s control and possession and</w:t>
      </w:r>
      <w:r>
        <w:rPr>
          <w:rFonts w:ascii="Times New Roman" w:eastAsia="Times New Roman" w:hAnsi="Times New Roman" w:cs="Times New Roman"/>
          <w:bCs/>
          <w:sz w:val="24"/>
          <w:szCs w:val="24"/>
        </w:rPr>
        <w:t>/or</w:t>
      </w:r>
      <w:r w:rsidRPr="00E268AB">
        <w:rPr>
          <w:rFonts w:ascii="Times New Roman" w:eastAsia="Times New Roman" w:hAnsi="Times New Roman" w:cs="Times New Roman"/>
          <w:bCs/>
          <w:sz w:val="24"/>
          <w:szCs w:val="24"/>
        </w:rPr>
        <w:t xml:space="preserve"> that is equally available to SDAP.  Subject to and without waiving this objection, SDG&amp;E responds as follows:</w:t>
      </w:r>
      <w:r w:rsidRPr="00E268AB">
        <w:rPr>
          <w:rFonts w:ascii="Times New Roman" w:eastAsia="Times New Roman" w:hAnsi="Times New Roman" w:cs="Times New Roman"/>
          <w:b/>
          <w:bCs/>
          <w:sz w:val="24"/>
          <w:szCs w:val="24"/>
        </w:rPr>
        <w:t xml:space="preserve">  </w:t>
      </w:r>
    </w:p>
    <w:p w14:paraId="23625C90" w14:textId="77777777" w:rsidR="00E268AB" w:rsidRPr="00E268AB" w:rsidRDefault="00E268AB" w:rsidP="00E268AB">
      <w:pPr>
        <w:widowControl/>
        <w:contextualSpacing/>
        <w:rPr>
          <w:rFonts w:ascii="Times New Roman" w:eastAsia="Times New Roman" w:hAnsi="Times New Roman" w:cs="Times New Roman"/>
          <w:b/>
          <w:bCs/>
          <w:sz w:val="24"/>
          <w:szCs w:val="24"/>
        </w:rPr>
      </w:pPr>
    </w:p>
    <w:p w14:paraId="218B5409" w14:textId="74F32D6F" w:rsidR="00ED531D" w:rsidRPr="00B43B6A" w:rsidRDefault="313B2EFA" w:rsidP="009B3043">
      <w:pPr>
        <w:widowControl/>
        <w:contextualSpacing/>
        <w:rPr>
          <w:rFonts w:ascii="Times New Roman" w:eastAsia="Times New Roman" w:hAnsi="Times New Roman" w:cs="Times New Roman"/>
          <w:sz w:val="24"/>
          <w:szCs w:val="24"/>
        </w:rPr>
      </w:pPr>
      <w:r w:rsidRPr="00B43B6A">
        <w:rPr>
          <w:rFonts w:ascii="Times New Roman" w:eastAsia="Times New Roman" w:hAnsi="Times New Roman" w:cs="Times New Roman"/>
          <w:sz w:val="24"/>
          <w:szCs w:val="24"/>
        </w:rPr>
        <w:t xml:space="preserve">SDG&amp;E previously provided the 2018 event dates and hours that are applicable for SDAP in A.18-12-006, SDAP Data Request #2. </w:t>
      </w:r>
      <w:r w:rsidR="008E550E" w:rsidRPr="00B43B6A">
        <w:rPr>
          <w:rFonts w:ascii="Times New Roman" w:eastAsia="Times New Roman" w:hAnsi="Times New Roman" w:cs="Times New Roman"/>
          <w:sz w:val="24"/>
          <w:szCs w:val="24"/>
        </w:rPr>
        <w:t>SDG&amp;E does not currently have the 2019 data available</w:t>
      </w:r>
      <w:r w:rsidR="000E4C99">
        <w:rPr>
          <w:rFonts w:ascii="Times New Roman" w:eastAsia="Times New Roman" w:hAnsi="Times New Roman" w:cs="Times New Roman"/>
          <w:sz w:val="24"/>
          <w:szCs w:val="24"/>
        </w:rPr>
        <w:t>.</w:t>
      </w:r>
    </w:p>
    <w:p w14:paraId="65C2320E" w14:textId="6607314E" w:rsidR="00ED531D" w:rsidRDefault="00ED531D" w:rsidP="009B3043">
      <w:pPr>
        <w:widowControl/>
        <w:contextualSpacing/>
        <w:rPr>
          <w:rFonts w:ascii="Times New Roman" w:eastAsia="Times New Roman" w:hAnsi="Times New Roman" w:cs="Times New Roman"/>
          <w:snapToGrid w:val="0"/>
          <w:color w:val="0070C0"/>
          <w:sz w:val="24"/>
          <w:szCs w:val="20"/>
        </w:rPr>
      </w:pPr>
    </w:p>
    <w:p w14:paraId="726A6407" w14:textId="77777777" w:rsidR="009B3043" w:rsidRPr="009B3043" w:rsidRDefault="009B3043" w:rsidP="009B3043">
      <w:pPr>
        <w:widowControl/>
        <w:contextualSpacing/>
        <w:rPr>
          <w:rFonts w:ascii="Times New Roman" w:eastAsia="Times New Roman" w:hAnsi="Times New Roman" w:cs="Times New Roman"/>
          <w:b/>
          <w:bCs/>
          <w:snapToGrid w:val="0"/>
          <w:sz w:val="24"/>
          <w:szCs w:val="24"/>
          <w:shd w:val="clear" w:color="auto" w:fill="FFFFFF"/>
        </w:rPr>
      </w:pPr>
    </w:p>
    <w:p w14:paraId="12F565CF" w14:textId="77777777" w:rsidR="000C64AD" w:rsidRPr="00FD3D70" w:rsidRDefault="000C64AD" w:rsidP="000C64AD">
      <w:pPr>
        <w:pStyle w:val="ListParagraph"/>
        <w:widowControl/>
        <w:numPr>
          <w:ilvl w:val="1"/>
          <w:numId w:val="11"/>
        </w:numPr>
        <w:contextualSpacing/>
        <w:rPr>
          <w:rFonts w:ascii="Times New Roman" w:eastAsia="Times New Roman" w:hAnsi="Times New Roman" w:cs="Times New Roman"/>
          <w:b/>
          <w:snapToGrid w:val="0"/>
          <w:sz w:val="24"/>
          <w:szCs w:val="24"/>
          <w:shd w:val="clear" w:color="auto" w:fill="FFFFFF"/>
        </w:rPr>
      </w:pPr>
      <w:r w:rsidRPr="00FD3D70">
        <w:rPr>
          <w:rFonts w:ascii="Times New Roman" w:hAnsi="Times New Roman" w:cs="Times New Roman"/>
          <w:b/>
          <w:snapToGrid w:val="0"/>
          <w:sz w:val="24"/>
          <w:szCs w:val="24"/>
          <w:shd w:val="clear" w:color="auto" w:fill="FFFFFF"/>
        </w:rPr>
        <w:t>See example from proceeding 17-01-020 SDGE answer on 2-6-17 SDAP DR 01, Question 37  (this response [below] by SDGE clearly explains that the Circuit Events trigger the price and is based on historical prices from individual circuits).</w:t>
      </w:r>
    </w:p>
    <w:p w14:paraId="6B4F81BA" w14:textId="77777777" w:rsidR="000C64AD" w:rsidRPr="00FD3D70" w:rsidRDefault="000C64AD" w:rsidP="000C64AD">
      <w:pPr>
        <w:rPr>
          <w:rFonts w:ascii="Times New Roman" w:hAnsi="Times New Roman" w:cs="Times New Roman"/>
          <w:b/>
          <w:sz w:val="24"/>
          <w:szCs w:val="24"/>
          <w:shd w:val="clear" w:color="auto" w:fill="FFFFFF"/>
        </w:rPr>
      </w:pPr>
      <w:r w:rsidRPr="00FD3D70">
        <w:rPr>
          <w:rFonts w:ascii="Times New Roman" w:hAnsi="Times New Roman" w:cs="Times New Roman"/>
          <w:b/>
          <w:bCs/>
          <w:color w:val="000000"/>
          <w:sz w:val="24"/>
          <w:szCs w:val="24"/>
        </w:rPr>
        <w:t xml:space="preserve">                        SDG&amp;E Response to Q 37 : </w:t>
      </w:r>
    </w:p>
    <w:p w14:paraId="64309A01" w14:textId="77777777" w:rsidR="000C64AD" w:rsidRPr="00FD3D70" w:rsidRDefault="000C64AD" w:rsidP="000C64AD">
      <w:pPr>
        <w:pStyle w:val="ListParagraph"/>
        <w:widowControl/>
        <w:numPr>
          <w:ilvl w:val="3"/>
          <w:numId w:val="11"/>
        </w:numPr>
        <w:contextualSpacing/>
        <w:rPr>
          <w:rFonts w:ascii="Times New Roman" w:eastAsia="Times New Roman" w:hAnsi="Times New Roman" w:cs="Times New Roman"/>
          <w:b/>
          <w:snapToGrid w:val="0"/>
          <w:sz w:val="24"/>
          <w:szCs w:val="24"/>
          <w:shd w:val="clear" w:color="auto" w:fill="FFFFFF"/>
        </w:rPr>
      </w:pPr>
      <w:r w:rsidRPr="00FD3D70">
        <w:rPr>
          <w:rFonts w:ascii="Times New Roman" w:hAnsi="Times New Roman" w:cs="Times New Roman"/>
          <w:b/>
          <w:color w:val="44546A"/>
          <w:sz w:val="24"/>
          <w:szCs w:val="24"/>
        </w:rPr>
        <w:lastRenderedPageBreak/>
        <w:t xml:space="preserve">System events (C-CPP) are generated using the CAISO’s Day-Ahead Forecast for SDG&amp;E’s service territory; the CAISO’s Day-Ahead Forecast is matched to an event threshold which is based off of the top 150 hours of the previous year. If the system hourly forecast crosses the event threshold, a C-CPP event is triggered for that hour(s). </w:t>
      </w:r>
    </w:p>
    <w:p w14:paraId="379105AF" w14:textId="77777777" w:rsidR="000C64AD" w:rsidRPr="00FD3D70" w:rsidRDefault="000C64AD" w:rsidP="000C64AD">
      <w:pPr>
        <w:pStyle w:val="ListParagraph"/>
        <w:widowControl/>
        <w:numPr>
          <w:ilvl w:val="3"/>
          <w:numId w:val="11"/>
        </w:numPr>
        <w:contextualSpacing/>
        <w:rPr>
          <w:rFonts w:ascii="Times New Roman" w:eastAsia="Times New Roman" w:hAnsi="Times New Roman" w:cs="Times New Roman"/>
          <w:b/>
          <w:snapToGrid w:val="0"/>
          <w:sz w:val="24"/>
          <w:szCs w:val="24"/>
          <w:shd w:val="clear" w:color="auto" w:fill="FFFFFF"/>
        </w:rPr>
      </w:pPr>
      <w:r w:rsidRPr="00FD3D70">
        <w:rPr>
          <w:rFonts w:ascii="Times New Roman" w:hAnsi="Times New Roman" w:cs="Times New Roman"/>
          <w:b/>
          <w:color w:val="44546A"/>
          <w:sz w:val="24"/>
          <w:szCs w:val="24"/>
        </w:rPr>
        <w:t xml:space="preserve">Distribution events (D-CPP) are generated from an internal forecast, where each circuit is modeled individually producing an hourly forecast for the circuit. The day-ahead forecast for each circuit is then matched to the circuit’s respective event threshold which is based off of the top 200 hours of the previous year. If circuit hourly forecast crosses the event threshold, a DCPP event is triggered for that hour(s). </w:t>
      </w:r>
    </w:p>
    <w:p w14:paraId="5193E4F0" w14:textId="77777777" w:rsidR="000C64AD" w:rsidRPr="00FD3D70" w:rsidRDefault="000C64AD" w:rsidP="000C64AD">
      <w:pPr>
        <w:pStyle w:val="ListParagraph"/>
        <w:widowControl/>
        <w:numPr>
          <w:ilvl w:val="3"/>
          <w:numId w:val="11"/>
        </w:numPr>
        <w:contextualSpacing/>
        <w:rPr>
          <w:rFonts w:ascii="Times New Roman" w:eastAsia="Times New Roman" w:hAnsi="Times New Roman" w:cs="Times New Roman"/>
          <w:b/>
          <w:snapToGrid w:val="0"/>
          <w:sz w:val="24"/>
          <w:szCs w:val="24"/>
          <w:shd w:val="clear" w:color="auto" w:fill="FFFFFF"/>
        </w:rPr>
      </w:pPr>
      <w:r w:rsidRPr="00FD3D70">
        <w:rPr>
          <w:rFonts w:ascii="Times New Roman" w:hAnsi="Times New Roman" w:cs="Times New Roman"/>
          <w:b/>
          <w:color w:val="44546A"/>
          <w:sz w:val="24"/>
          <w:szCs w:val="24"/>
        </w:rPr>
        <w:t>As the event hours are established (using a threshold calculated with historic data), the actual total number of event hours may be over or under 150 and 200 respectively. There is no maximum number of C-CPP and D-CPP event hours per year; these event adders may be applied individually or together at the same time.</w:t>
      </w:r>
    </w:p>
    <w:p w14:paraId="31C2A747" w14:textId="77777777" w:rsidR="000C64AD" w:rsidRPr="00FD3D70" w:rsidRDefault="000C64AD" w:rsidP="000C64AD">
      <w:pPr>
        <w:rPr>
          <w:rFonts w:ascii="Times New Roman" w:hAnsi="Times New Roman" w:cs="Times New Roman"/>
          <w:b/>
          <w:sz w:val="24"/>
          <w:szCs w:val="24"/>
          <w:shd w:val="clear" w:color="auto" w:fill="FFFFFF"/>
        </w:rPr>
      </w:pPr>
    </w:p>
    <w:p w14:paraId="13980B57" w14:textId="77777777" w:rsidR="000C64AD" w:rsidRPr="00FD3D70" w:rsidRDefault="000C64AD" w:rsidP="000C64AD">
      <w:pPr>
        <w:rPr>
          <w:rFonts w:ascii="Times New Roman" w:hAnsi="Times New Roman" w:cs="Times New Roman"/>
          <w:b/>
          <w:sz w:val="24"/>
          <w:szCs w:val="24"/>
          <w:shd w:val="clear" w:color="auto" w:fill="FFFFFF"/>
        </w:rPr>
      </w:pPr>
    </w:p>
    <w:p w14:paraId="4AF7B317" w14:textId="77777777" w:rsidR="000C64AD" w:rsidRPr="00FD3D70" w:rsidRDefault="000C64AD" w:rsidP="000C64AD">
      <w:pPr>
        <w:rPr>
          <w:rFonts w:ascii="Times New Roman" w:hAnsi="Times New Roman" w:cs="Times New Roman"/>
          <w:b/>
          <w:sz w:val="24"/>
          <w:szCs w:val="24"/>
          <w:shd w:val="clear" w:color="auto" w:fill="FFFFFF"/>
        </w:rPr>
      </w:pPr>
    </w:p>
    <w:p w14:paraId="1B9E52D3" w14:textId="77777777" w:rsidR="000C64AD" w:rsidRPr="00FD3D70" w:rsidRDefault="000C64AD" w:rsidP="000C64AD">
      <w:pPr>
        <w:rPr>
          <w:rFonts w:ascii="Times New Roman" w:hAnsi="Times New Roman" w:cs="Times New Roman"/>
          <w:b/>
          <w:sz w:val="24"/>
          <w:szCs w:val="24"/>
          <w:shd w:val="clear" w:color="auto" w:fill="FFFFFF"/>
        </w:rPr>
      </w:pPr>
    </w:p>
    <w:p w14:paraId="23DC177C" w14:textId="1BC7096C" w:rsidR="000C64AD" w:rsidRDefault="000C64AD" w:rsidP="000C64AD">
      <w:pPr>
        <w:pStyle w:val="ListParagraph"/>
        <w:widowControl/>
        <w:numPr>
          <w:ilvl w:val="0"/>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 xml:space="preserve">Is there a Maximum number of CCPP or DCPP event hours per year?  Please explain. </w:t>
      </w:r>
    </w:p>
    <w:p w14:paraId="3DC13DBD" w14:textId="2759564D" w:rsidR="0025155C" w:rsidRDefault="0025155C" w:rsidP="0025155C">
      <w:pPr>
        <w:widowControl/>
        <w:spacing w:line="276" w:lineRule="auto"/>
        <w:contextualSpacing/>
        <w:rPr>
          <w:rFonts w:ascii="Times New Roman" w:hAnsi="Times New Roman" w:cs="Times New Roman"/>
          <w:color w:val="000000"/>
          <w:sz w:val="24"/>
          <w:szCs w:val="24"/>
        </w:rPr>
      </w:pPr>
    </w:p>
    <w:p w14:paraId="527AC84E" w14:textId="65008481" w:rsidR="0011484B" w:rsidRPr="00AD3D0C" w:rsidRDefault="0025155C" w:rsidP="0025155C">
      <w:pPr>
        <w:widowControl/>
        <w:contextualSpacing/>
        <w:rPr>
          <w:rFonts w:ascii="Times New Roman" w:hAnsi="Times New Roman" w:cs="Times New Roman"/>
          <w:b/>
          <w:bCs/>
          <w:sz w:val="24"/>
          <w:szCs w:val="24"/>
          <w:shd w:val="clear" w:color="auto" w:fill="FFFFFF"/>
        </w:rPr>
      </w:pPr>
      <w:r w:rsidRPr="00101039">
        <w:rPr>
          <w:rFonts w:ascii="Times New Roman" w:hAnsi="Times New Roman" w:cs="Times New Roman"/>
          <w:b/>
          <w:bCs/>
          <w:sz w:val="24"/>
          <w:szCs w:val="24"/>
          <w:shd w:val="clear" w:color="auto" w:fill="FFFFFF"/>
        </w:rPr>
        <w:t>SDG&amp;E Response:</w:t>
      </w:r>
    </w:p>
    <w:p w14:paraId="439650A6" w14:textId="59C5D05D" w:rsidR="006E3B4E" w:rsidRPr="006E3B4E" w:rsidRDefault="006E3B4E" w:rsidP="006E3B4E">
      <w:pPr>
        <w:pStyle w:val="ListParagraph"/>
        <w:spacing w:line="276" w:lineRule="auto"/>
        <w:rPr>
          <w:rFonts w:ascii="Times New Roman" w:eastAsia="Times New Roman" w:hAnsi="Times New Roman" w:cs="Times New Roman"/>
          <w:snapToGrid w:val="0"/>
          <w:sz w:val="24"/>
          <w:szCs w:val="20"/>
        </w:rPr>
      </w:pPr>
      <w:r w:rsidRPr="006E3B4E">
        <w:rPr>
          <w:rFonts w:ascii="Times New Roman" w:eastAsia="Times New Roman" w:hAnsi="Times New Roman" w:cs="Times New Roman"/>
          <w:snapToGrid w:val="0"/>
          <w:sz w:val="24"/>
          <w:szCs w:val="20"/>
        </w:rPr>
        <w:t>No. Event hours are determine</w:t>
      </w:r>
      <w:r>
        <w:rPr>
          <w:rFonts w:ascii="Times New Roman" w:eastAsia="Times New Roman" w:hAnsi="Times New Roman" w:cs="Times New Roman"/>
          <w:snapToGrid w:val="0"/>
          <w:sz w:val="24"/>
          <w:szCs w:val="20"/>
        </w:rPr>
        <w:t>d</w:t>
      </w:r>
      <w:r w:rsidRPr="006E3B4E">
        <w:rPr>
          <w:rFonts w:ascii="Times New Roman" w:eastAsia="Times New Roman" w:hAnsi="Times New Roman" w:cs="Times New Roman"/>
          <w:snapToGrid w:val="0"/>
          <w:sz w:val="24"/>
          <w:szCs w:val="20"/>
        </w:rPr>
        <w:t xml:space="preserve"> based on the threshold set at the beginning of the year. All hours with a forecasted load greater than the threshold are deemed event hours.</w:t>
      </w:r>
    </w:p>
    <w:p w14:paraId="29509A9F" w14:textId="77777777" w:rsidR="0025155C" w:rsidRPr="0025155C" w:rsidRDefault="0025155C" w:rsidP="0025155C">
      <w:pPr>
        <w:widowControl/>
        <w:spacing w:line="276" w:lineRule="auto"/>
        <w:contextualSpacing/>
        <w:rPr>
          <w:rFonts w:ascii="Times New Roman" w:hAnsi="Times New Roman" w:cs="Times New Roman"/>
          <w:color w:val="000000"/>
          <w:sz w:val="24"/>
          <w:szCs w:val="24"/>
        </w:rPr>
      </w:pPr>
    </w:p>
    <w:p w14:paraId="4D7DB7AE" w14:textId="77777777" w:rsidR="000C64AD" w:rsidRPr="00FD3D70" w:rsidRDefault="000C64AD" w:rsidP="000C64AD">
      <w:pPr>
        <w:pStyle w:val="ListParagraph"/>
        <w:widowControl/>
        <w:numPr>
          <w:ilvl w:val="0"/>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 xml:space="preserve">Is there a maximum number of Events in the year in the Public GIR rate? </w:t>
      </w:r>
    </w:p>
    <w:p w14:paraId="775A0DC6" w14:textId="77777777" w:rsidR="0025155C" w:rsidRDefault="000C64AD" w:rsidP="0025155C">
      <w:pPr>
        <w:pStyle w:val="ListParagraph"/>
        <w:widowControl/>
        <w:numPr>
          <w:ilvl w:val="1"/>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If so, What is it?</w:t>
      </w:r>
    </w:p>
    <w:p w14:paraId="6031BC8B" w14:textId="77777777" w:rsidR="00101039" w:rsidRDefault="00101039" w:rsidP="00276B27">
      <w:pPr>
        <w:widowControl/>
        <w:spacing w:line="276" w:lineRule="auto"/>
        <w:contextualSpacing/>
        <w:rPr>
          <w:rFonts w:ascii="Times New Roman" w:hAnsi="Times New Roman" w:cs="Times New Roman"/>
          <w:b/>
          <w:bCs/>
          <w:sz w:val="24"/>
          <w:szCs w:val="24"/>
          <w:highlight w:val="yellow"/>
          <w:shd w:val="clear" w:color="auto" w:fill="FFFFFF"/>
        </w:rPr>
      </w:pPr>
    </w:p>
    <w:p w14:paraId="5CF333E5" w14:textId="338DC0FF" w:rsidR="0025155C" w:rsidRPr="0025155C" w:rsidRDefault="0025155C" w:rsidP="00276B27">
      <w:pPr>
        <w:widowControl/>
        <w:spacing w:line="276" w:lineRule="auto"/>
        <w:contextualSpacing/>
        <w:rPr>
          <w:rFonts w:ascii="Times New Roman" w:hAnsi="Times New Roman" w:cs="Times New Roman"/>
          <w:color w:val="000000"/>
          <w:sz w:val="24"/>
          <w:szCs w:val="24"/>
        </w:rPr>
      </w:pPr>
      <w:r w:rsidRPr="00101039">
        <w:rPr>
          <w:rFonts w:ascii="Times New Roman" w:hAnsi="Times New Roman" w:cs="Times New Roman"/>
          <w:b/>
          <w:bCs/>
          <w:sz w:val="24"/>
          <w:szCs w:val="24"/>
          <w:shd w:val="clear" w:color="auto" w:fill="FFFFFF"/>
        </w:rPr>
        <w:t>SDG&amp;E Response:</w:t>
      </w:r>
    </w:p>
    <w:p w14:paraId="449EFA0C" w14:textId="6E58A961" w:rsidR="00BF7849" w:rsidRPr="00101039" w:rsidRDefault="00BF7849" w:rsidP="0025155C">
      <w:pPr>
        <w:widowControl/>
        <w:spacing w:line="276" w:lineRule="auto"/>
        <w:contextualSpacing/>
        <w:rPr>
          <w:rFonts w:ascii="Times New Roman" w:eastAsia="Times New Roman" w:hAnsi="Times New Roman" w:cs="Times New Roman"/>
          <w:snapToGrid w:val="0"/>
          <w:sz w:val="24"/>
          <w:szCs w:val="20"/>
        </w:rPr>
      </w:pPr>
      <w:r w:rsidRPr="00101039">
        <w:rPr>
          <w:rFonts w:ascii="Times New Roman" w:eastAsia="Times New Roman" w:hAnsi="Times New Roman" w:cs="Times New Roman"/>
          <w:snapToGrid w:val="0"/>
          <w:sz w:val="24"/>
          <w:szCs w:val="20"/>
        </w:rPr>
        <w:t xml:space="preserve">Please see the response to Question #6. </w:t>
      </w:r>
    </w:p>
    <w:p w14:paraId="6E2B23AC" w14:textId="77777777" w:rsidR="000C64AD" w:rsidRPr="00FD3D70" w:rsidRDefault="000C64AD" w:rsidP="000C64AD">
      <w:pPr>
        <w:pStyle w:val="ListParagraph"/>
        <w:spacing w:line="276" w:lineRule="auto"/>
        <w:ind w:left="630"/>
        <w:rPr>
          <w:rFonts w:ascii="Times New Roman" w:hAnsi="Times New Roman" w:cs="Times New Roman"/>
          <w:color w:val="000000"/>
          <w:sz w:val="24"/>
          <w:szCs w:val="24"/>
        </w:rPr>
      </w:pPr>
    </w:p>
    <w:p w14:paraId="080463EA" w14:textId="77777777" w:rsidR="000C64AD" w:rsidRPr="00FD3D70" w:rsidRDefault="000C64AD" w:rsidP="000C64AD">
      <w:pPr>
        <w:pStyle w:val="ListParagraph"/>
        <w:widowControl/>
        <w:numPr>
          <w:ilvl w:val="0"/>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 xml:space="preserve">Does a Double Event count as 1 event or how many?  </w:t>
      </w:r>
    </w:p>
    <w:p w14:paraId="2B79C72D" w14:textId="77777777" w:rsidR="000C64AD" w:rsidRPr="00FD3D70" w:rsidRDefault="000C64AD" w:rsidP="000C64AD">
      <w:pPr>
        <w:pStyle w:val="ListParagraph"/>
        <w:widowControl/>
        <w:numPr>
          <w:ilvl w:val="1"/>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What event(s) category is a Double event applied in? (System or Circuit)</w:t>
      </w:r>
    </w:p>
    <w:p w14:paraId="439793EC" w14:textId="77777777" w:rsidR="00276B27" w:rsidRDefault="000C64AD" w:rsidP="00276B27">
      <w:pPr>
        <w:pStyle w:val="ListParagraph"/>
        <w:widowControl/>
        <w:numPr>
          <w:ilvl w:val="1"/>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How does a Double Event impact the maximum events in the GIR rate?</w:t>
      </w:r>
    </w:p>
    <w:p w14:paraId="4BE40D5B" w14:textId="77777777" w:rsidR="00276B27" w:rsidRDefault="00276B27" w:rsidP="00276B27">
      <w:pPr>
        <w:pStyle w:val="ListParagraph"/>
        <w:widowControl/>
        <w:spacing w:line="276" w:lineRule="auto"/>
        <w:contextualSpacing/>
        <w:rPr>
          <w:rFonts w:ascii="Times New Roman" w:hAnsi="Times New Roman" w:cs="Times New Roman"/>
          <w:color w:val="000000"/>
          <w:sz w:val="24"/>
          <w:szCs w:val="24"/>
        </w:rPr>
      </w:pPr>
    </w:p>
    <w:p w14:paraId="72BCCEAF" w14:textId="5FC24703" w:rsidR="00276B27" w:rsidRPr="00276B27" w:rsidRDefault="00276B27" w:rsidP="00276B27">
      <w:pPr>
        <w:pStyle w:val="ListParagraph"/>
        <w:widowControl/>
        <w:spacing w:line="276" w:lineRule="auto"/>
        <w:contextualSpacing/>
        <w:rPr>
          <w:rFonts w:ascii="Times New Roman" w:hAnsi="Times New Roman" w:cs="Times New Roman"/>
          <w:color w:val="000000"/>
          <w:sz w:val="24"/>
          <w:szCs w:val="24"/>
        </w:rPr>
      </w:pPr>
      <w:r w:rsidRPr="00AA61C4">
        <w:rPr>
          <w:rFonts w:ascii="Times New Roman" w:hAnsi="Times New Roman" w:cs="Times New Roman"/>
          <w:b/>
          <w:bCs/>
          <w:sz w:val="24"/>
          <w:szCs w:val="24"/>
          <w:shd w:val="clear" w:color="auto" w:fill="FFFFFF"/>
        </w:rPr>
        <w:t>SDG&amp;E Response:</w:t>
      </w:r>
      <w:r w:rsidR="002C0F11" w:rsidRPr="00AA61C4">
        <w:rPr>
          <w:rFonts w:ascii="Times New Roman" w:hAnsi="Times New Roman" w:cs="Times New Roman"/>
          <w:b/>
          <w:bCs/>
          <w:sz w:val="24"/>
          <w:szCs w:val="24"/>
          <w:shd w:val="clear" w:color="auto" w:fill="FFFFFF"/>
        </w:rPr>
        <w:t xml:space="preserve"> </w:t>
      </w:r>
    </w:p>
    <w:p w14:paraId="39D6173E" w14:textId="18BC9824" w:rsidR="00391346" w:rsidRPr="00101039" w:rsidRDefault="00BF7849" w:rsidP="00153101">
      <w:pPr>
        <w:rPr>
          <w:rFonts w:ascii="Times New Roman" w:eastAsia="Times New Roman" w:hAnsi="Times New Roman" w:cs="Times New Roman"/>
          <w:snapToGrid w:val="0"/>
          <w:sz w:val="24"/>
          <w:szCs w:val="20"/>
        </w:rPr>
      </w:pPr>
      <w:r w:rsidRPr="00101039">
        <w:rPr>
          <w:rFonts w:ascii="Times New Roman" w:eastAsia="Times New Roman" w:hAnsi="Times New Roman" w:cs="Times New Roman"/>
          <w:snapToGrid w:val="0"/>
          <w:sz w:val="24"/>
          <w:szCs w:val="20"/>
        </w:rPr>
        <w:t>The c</w:t>
      </w:r>
      <w:r w:rsidR="00391346" w:rsidRPr="00101039">
        <w:rPr>
          <w:rFonts w:ascii="Times New Roman" w:eastAsia="Times New Roman" w:hAnsi="Times New Roman" w:cs="Times New Roman"/>
          <w:snapToGrid w:val="0"/>
          <w:sz w:val="24"/>
          <w:szCs w:val="20"/>
        </w:rPr>
        <w:t>ommodity and distribution adders are determined independently of one another</w:t>
      </w:r>
      <w:r w:rsidRPr="00101039">
        <w:rPr>
          <w:rFonts w:ascii="Times New Roman" w:eastAsia="Times New Roman" w:hAnsi="Times New Roman" w:cs="Times New Roman"/>
          <w:snapToGrid w:val="0"/>
          <w:sz w:val="24"/>
          <w:szCs w:val="20"/>
        </w:rPr>
        <w:t>, but may be applied at the same time if each respective threshold is exceeded</w:t>
      </w:r>
      <w:r w:rsidR="00391346" w:rsidRPr="00101039">
        <w:rPr>
          <w:rFonts w:ascii="Times New Roman" w:eastAsia="Times New Roman" w:hAnsi="Times New Roman" w:cs="Times New Roman"/>
          <w:snapToGrid w:val="0"/>
          <w:sz w:val="24"/>
          <w:szCs w:val="20"/>
        </w:rPr>
        <w:t>. The Commodity adder is based on the system</w:t>
      </w:r>
      <w:r w:rsidR="00D64D2B">
        <w:rPr>
          <w:rFonts w:ascii="Times New Roman" w:eastAsia="Times New Roman" w:hAnsi="Times New Roman" w:cs="Times New Roman"/>
          <w:snapToGrid w:val="0"/>
          <w:sz w:val="24"/>
          <w:szCs w:val="20"/>
        </w:rPr>
        <w:t>’s</w:t>
      </w:r>
      <w:r w:rsidR="00391346" w:rsidRPr="00101039">
        <w:rPr>
          <w:rFonts w:ascii="Times New Roman" w:eastAsia="Times New Roman" w:hAnsi="Times New Roman" w:cs="Times New Roman"/>
          <w:snapToGrid w:val="0"/>
          <w:sz w:val="24"/>
          <w:szCs w:val="20"/>
        </w:rPr>
        <w:t xml:space="preserve"> top 200 hours, and the Distribution adder is based on the top 150 hours of a customer’s respective circuit.</w:t>
      </w:r>
      <w:r w:rsidRPr="00101039">
        <w:rPr>
          <w:rFonts w:ascii="Times New Roman" w:eastAsia="Times New Roman" w:hAnsi="Times New Roman" w:cs="Times New Roman"/>
          <w:snapToGrid w:val="0"/>
          <w:sz w:val="24"/>
          <w:szCs w:val="20"/>
        </w:rPr>
        <w:t xml:space="preserve"> Both the D-CPP and C-CPP event adders will be applied to any hour </w:t>
      </w:r>
      <w:r w:rsidR="00D64D2B">
        <w:rPr>
          <w:rFonts w:ascii="Times New Roman" w:eastAsia="Times New Roman" w:hAnsi="Times New Roman" w:cs="Times New Roman"/>
          <w:snapToGrid w:val="0"/>
          <w:sz w:val="24"/>
          <w:szCs w:val="20"/>
        </w:rPr>
        <w:t>that</w:t>
      </w:r>
      <w:r w:rsidRPr="00101039">
        <w:rPr>
          <w:rFonts w:ascii="Times New Roman" w:eastAsia="Times New Roman" w:hAnsi="Times New Roman" w:cs="Times New Roman"/>
          <w:snapToGrid w:val="0"/>
          <w:sz w:val="24"/>
          <w:szCs w:val="20"/>
        </w:rPr>
        <w:t xml:space="preserve"> is forecasted to exceed the established threshold, with no specific limit to the number of event hours </w:t>
      </w:r>
      <w:r w:rsidRPr="00101039">
        <w:rPr>
          <w:rFonts w:ascii="Times New Roman" w:eastAsia="Times New Roman" w:hAnsi="Times New Roman" w:cs="Times New Roman"/>
          <w:snapToGrid w:val="0"/>
          <w:sz w:val="24"/>
          <w:szCs w:val="20"/>
        </w:rPr>
        <w:lastRenderedPageBreak/>
        <w:t>annually.</w:t>
      </w:r>
    </w:p>
    <w:p w14:paraId="583FD42D" w14:textId="77777777" w:rsidR="000C64AD" w:rsidRPr="00FD3D70" w:rsidRDefault="000C64AD" w:rsidP="000C64AD">
      <w:pPr>
        <w:pStyle w:val="ListParagraph"/>
        <w:spacing w:line="276" w:lineRule="auto"/>
        <w:ind w:left="630"/>
        <w:rPr>
          <w:rFonts w:ascii="Times New Roman" w:hAnsi="Times New Roman" w:cs="Times New Roman"/>
          <w:color w:val="000000"/>
          <w:sz w:val="24"/>
          <w:szCs w:val="24"/>
        </w:rPr>
      </w:pPr>
    </w:p>
    <w:p w14:paraId="09E3533E" w14:textId="5EADDC32" w:rsidR="00AA61C4" w:rsidRPr="00AD3D0C" w:rsidRDefault="000C64AD" w:rsidP="00276B27">
      <w:pPr>
        <w:pStyle w:val="ListParagraph"/>
        <w:widowControl/>
        <w:numPr>
          <w:ilvl w:val="0"/>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How is the </w:t>
      </w:r>
      <w:r w:rsidRPr="00FD3D70">
        <w:rPr>
          <w:rFonts w:ascii="Times New Roman" w:hAnsi="Times New Roman" w:cs="Times New Roman"/>
          <w:b/>
          <w:bCs/>
          <w:i/>
          <w:iCs/>
          <w:color w:val="000000"/>
          <w:sz w:val="24"/>
          <w:szCs w:val="24"/>
        </w:rPr>
        <w:t>circuit event triggered</w:t>
      </w:r>
      <w:r w:rsidRPr="00FD3D70">
        <w:rPr>
          <w:rFonts w:ascii="Times New Roman" w:hAnsi="Times New Roman" w:cs="Times New Roman"/>
          <w:color w:val="000000"/>
          <w:sz w:val="24"/>
          <w:szCs w:val="24"/>
        </w:rPr>
        <w:t> on my circuit?</w:t>
      </w:r>
    </w:p>
    <w:p w14:paraId="3BA9555A" w14:textId="77777777" w:rsidR="00AA61C4" w:rsidRDefault="00AA61C4" w:rsidP="00276B27">
      <w:pPr>
        <w:widowControl/>
        <w:spacing w:line="276" w:lineRule="auto"/>
        <w:contextualSpacing/>
        <w:rPr>
          <w:rFonts w:ascii="Times New Roman" w:hAnsi="Times New Roman" w:cs="Times New Roman"/>
          <w:color w:val="000000"/>
          <w:sz w:val="24"/>
          <w:szCs w:val="24"/>
        </w:rPr>
      </w:pPr>
    </w:p>
    <w:p w14:paraId="16E655CA" w14:textId="7DF93361" w:rsidR="00276B27" w:rsidRPr="00276B27" w:rsidRDefault="00276B27" w:rsidP="00276B27">
      <w:pPr>
        <w:pStyle w:val="ListParagraph"/>
        <w:widowControl/>
        <w:spacing w:line="276" w:lineRule="auto"/>
        <w:contextualSpacing/>
        <w:rPr>
          <w:rFonts w:ascii="Times New Roman" w:hAnsi="Times New Roman" w:cs="Times New Roman"/>
          <w:color w:val="000000"/>
          <w:sz w:val="24"/>
          <w:szCs w:val="24"/>
        </w:rPr>
      </w:pPr>
      <w:r w:rsidRPr="00AA61C4">
        <w:rPr>
          <w:rFonts w:ascii="Times New Roman" w:hAnsi="Times New Roman" w:cs="Times New Roman"/>
          <w:b/>
          <w:bCs/>
          <w:sz w:val="24"/>
          <w:szCs w:val="24"/>
          <w:shd w:val="clear" w:color="auto" w:fill="FFFFFF"/>
        </w:rPr>
        <w:t>SDG&amp;E Response:</w:t>
      </w:r>
      <w:r w:rsidR="002C0F11">
        <w:rPr>
          <w:rFonts w:ascii="Times New Roman" w:hAnsi="Times New Roman" w:cs="Times New Roman"/>
          <w:b/>
          <w:bCs/>
          <w:sz w:val="24"/>
          <w:szCs w:val="24"/>
          <w:shd w:val="clear" w:color="auto" w:fill="FFFFFF"/>
        </w:rPr>
        <w:t xml:space="preserve"> </w:t>
      </w:r>
    </w:p>
    <w:p w14:paraId="40F9257E" w14:textId="330A2418" w:rsidR="00153101" w:rsidRPr="00AA61C4" w:rsidRDefault="00153101" w:rsidP="00153101">
      <w:pPr>
        <w:rPr>
          <w:rFonts w:ascii="Times New Roman" w:eastAsia="Times New Roman" w:hAnsi="Times New Roman" w:cs="Times New Roman"/>
          <w:snapToGrid w:val="0"/>
          <w:sz w:val="24"/>
          <w:szCs w:val="20"/>
        </w:rPr>
      </w:pPr>
      <w:r w:rsidRPr="00AA61C4">
        <w:rPr>
          <w:rFonts w:ascii="Times New Roman" w:eastAsia="Times New Roman" w:hAnsi="Times New Roman" w:cs="Times New Roman"/>
          <w:snapToGrid w:val="0"/>
          <w:sz w:val="24"/>
          <w:szCs w:val="20"/>
        </w:rPr>
        <w:t xml:space="preserve">The D-CPP event hour threshold is based on a historic reference point that is established using the top 200 circuit peak hours. An event is triggered when the day-ahead forecast for the circuit exceeds the established threshold. </w:t>
      </w:r>
    </w:p>
    <w:p w14:paraId="70AB605D" w14:textId="77777777" w:rsidR="000C64AD" w:rsidRPr="00FD3D70" w:rsidRDefault="000C64AD" w:rsidP="000C64AD">
      <w:pPr>
        <w:pStyle w:val="ListParagraph"/>
        <w:spacing w:line="276" w:lineRule="auto"/>
        <w:ind w:left="630"/>
        <w:rPr>
          <w:rStyle w:val="Strong"/>
          <w:rFonts w:ascii="Times New Roman" w:hAnsi="Times New Roman" w:cs="Times New Roman"/>
          <w:b w:val="0"/>
          <w:bCs w:val="0"/>
          <w:color w:val="000000"/>
          <w:sz w:val="24"/>
          <w:szCs w:val="24"/>
        </w:rPr>
      </w:pPr>
    </w:p>
    <w:p w14:paraId="799CC618" w14:textId="1D75F0CA" w:rsidR="000C64AD" w:rsidRDefault="000C64AD" w:rsidP="000C64AD">
      <w:pPr>
        <w:pStyle w:val="ListParagraph"/>
        <w:widowControl/>
        <w:numPr>
          <w:ilvl w:val="0"/>
          <w:numId w:val="11"/>
        </w:numPr>
        <w:spacing w:line="276" w:lineRule="auto"/>
        <w:contextualSpacing/>
        <w:rPr>
          <w:rFonts w:ascii="Times New Roman" w:hAnsi="Times New Roman" w:cs="Times New Roman"/>
          <w:sz w:val="24"/>
          <w:szCs w:val="24"/>
        </w:rPr>
      </w:pPr>
      <w:r w:rsidRPr="00FD3D70">
        <w:rPr>
          <w:rFonts w:ascii="Times New Roman" w:hAnsi="Times New Roman" w:cs="Times New Roman"/>
          <w:sz w:val="24"/>
          <w:szCs w:val="24"/>
        </w:rPr>
        <w:t>Please confirm that a circuit event is called whenever the day-ahead forecast load on my circuit exceeds the circuit threshold.</w:t>
      </w:r>
    </w:p>
    <w:p w14:paraId="50A33705" w14:textId="0592A2ED" w:rsidR="00276B27" w:rsidRDefault="00276B27" w:rsidP="002C110B">
      <w:pPr>
        <w:widowControl/>
        <w:spacing w:line="276" w:lineRule="auto"/>
        <w:contextualSpacing/>
        <w:rPr>
          <w:rFonts w:ascii="Times New Roman" w:hAnsi="Times New Roman" w:cs="Times New Roman"/>
          <w:sz w:val="24"/>
          <w:szCs w:val="24"/>
        </w:rPr>
      </w:pPr>
    </w:p>
    <w:p w14:paraId="4D6963F2" w14:textId="77777777" w:rsidR="00FB5BC9" w:rsidRPr="00FA5789" w:rsidRDefault="00276B27" w:rsidP="002C110B">
      <w:pPr>
        <w:pStyle w:val="ListParagraph"/>
        <w:spacing w:line="276" w:lineRule="auto"/>
        <w:rPr>
          <w:rFonts w:ascii="Arial" w:hAnsi="Arial"/>
          <w:color w:val="FF0000"/>
        </w:rPr>
      </w:pPr>
      <w:r w:rsidRPr="00FA5789">
        <w:rPr>
          <w:rFonts w:ascii="Times New Roman" w:hAnsi="Times New Roman" w:cs="Times New Roman"/>
          <w:b/>
          <w:bCs/>
          <w:sz w:val="24"/>
          <w:szCs w:val="24"/>
          <w:shd w:val="clear" w:color="auto" w:fill="FFFFFF"/>
        </w:rPr>
        <w:t>SDG&amp;E Response:</w:t>
      </w:r>
      <w:r w:rsidR="002C0F11" w:rsidRPr="00FA5789">
        <w:rPr>
          <w:rFonts w:ascii="Times New Roman" w:hAnsi="Times New Roman" w:cs="Times New Roman"/>
          <w:b/>
          <w:bCs/>
          <w:sz w:val="24"/>
          <w:szCs w:val="24"/>
          <w:shd w:val="clear" w:color="auto" w:fill="FFFFFF"/>
        </w:rPr>
        <w:t xml:space="preserve"> </w:t>
      </w:r>
      <w:r w:rsidR="00FB5BC9" w:rsidRPr="00FA5789">
        <w:rPr>
          <w:rFonts w:ascii="Times New Roman" w:hAnsi="Times New Roman" w:cs="Times New Roman"/>
          <w:sz w:val="24"/>
          <w:szCs w:val="24"/>
        </w:rPr>
        <w:t>A circuit event is triggered when the day-ahead forecasted load exceeds the circuit threshold.</w:t>
      </w:r>
    </w:p>
    <w:p w14:paraId="0E687FBB" w14:textId="77777777" w:rsidR="000C64AD" w:rsidRPr="00FA5789" w:rsidRDefault="000C64AD" w:rsidP="000C64AD">
      <w:pPr>
        <w:spacing w:line="276" w:lineRule="auto"/>
        <w:rPr>
          <w:rFonts w:ascii="Times New Roman" w:hAnsi="Times New Roman" w:cs="Times New Roman"/>
          <w:sz w:val="24"/>
          <w:szCs w:val="24"/>
        </w:rPr>
      </w:pPr>
    </w:p>
    <w:p w14:paraId="59F8E9E5" w14:textId="2652B1BC" w:rsidR="000C64AD" w:rsidRPr="00FA5789" w:rsidRDefault="000C64AD" w:rsidP="000C64AD">
      <w:pPr>
        <w:pStyle w:val="ListParagraph"/>
        <w:widowControl/>
        <w:numPr>
          <w:ilvl w:val="0"/>
          <w:numId w:val="11"/>
        </w:numPr>
        <w:spacing w:line="276" w:lineRule="auto"/>
        <w:contextualSpacing/>
        <w:rPr>
          <w:rFonts w:ascii="Times New Roman" w:hAnsi="Times New Roman" w:cs="Times New Roman"/>
          <w:sz w:val="24"/>
          <w:szCs w:val="24"/>
        </w:rPr>
      </w:pPr>
      <w:r w:rsidRPr="00FA5789">
        <w:rPr>
          <w:rFonts w:ascii="Times New Roman" w:hAnsi="Times New Roman" w:cs="Times New Roman"/>
          <w:sz w:val="24"/>
          <w:szCs w:val="24"/>
        </w:rPr>
        <w:t xml:space="preserve"> What is the circuit </w:t>
      </w:r>
      <w:r w:rsidRPr="00FA5789">
        <w:rPr>
          <w:rFonts w:ascii="Times New Roman" w:hAnsi="Times New Roman" w:cs="Times New Roman"/>
          <w:b/>
          <w:i/>
          <w:sz w:val="24"/>
          <w:szCs w:val="24"/>
        </w:rPr>
        <w:t>threshold</w:t>
      </w:r>
      <w:r w:rsidRPr="00FA5789">
        <w:rPr>
          <w:rFonts w:ascii="Times New Roman" w:hAnsi="Times New Roman" w:cs="Times New Roman"/>
          <w:sz w:val="24"/>
          <w:szCs w:val="24"/>
        </w:rPr>
        <w:t>?</w:t>
      </w:r>
    </w:p>
    <w:p w14:paraId="4D7937A3" w14:textId="72A81E0D" w:rsidR="00276B27" w:rsidRPr="00FA5789" w:rsidRDefault="00276B27" w:rsidP="00276B27">
      <w:pPr>
        <w:widowControl/>
        <w:spacing w:line="276" w:lineRule="auto"/>
        <w:contextualSpacing/>
        <w:rPr>
          <w:rFonts w:ascii="Times New Roman" w:hAnsi="Times New Roman" w:cs="Times New Roman"/>
          <w:sz w:val="24"/>
          <w:szCs w:val="24"/>
        </w:rPr>
      </w:pPr>
    </w:p>
    <w:p w14:paraId="38E623E5" w14:textId="77777777" w:rsidR="00FA5789" w:rsidRPr="00C0216F" w:rsidRDefault="00276B27" w:rsidP="002C110B">
      <w:pPr>
        <w:pStyle w:val="ListParagraph"/>
        <w:spacing w:line="276" w:lineRule="auto"/>
        <w:rPr>
          <w:rStyle w:val="Strong"/>
          <w:rFonts w:ascii="Arial" w:hAnsi="Arial" w:cs="Arial"/>
          <w:b w:val="0"/>
          <w:bCs w:val="0"/>
          <w:color w:val="FF0000"/>
        </w:rPr>
      </w:pPr>
      <w:r w:rsidRPr="00FA5789">
        <w:rPr>
          <w:rFonts w:ascii="Times New Roman" w:hAnsi="Times New Roman" w:cs="Times New Roman"/>
          <w:b/>
          <w:bCs/>
          <w:sz w:val="24"/>
          <w:szCs w:val="24"/>
          <w:shd w:val="clear" w:color="auto" w:fill="FFFFFF"/>
        </w:rPr>
        <w:t>SDG&amp;E Response:</w:t>
      </w:r>
      <w:r w:rsidR="002C0F11">
        <w:rPr>
          <w:rFonts w:ascii="Times New Roman" w:hAnsi="Times New Roman" w:cs="Times New Roman"/>
          <w:b/>
          <w:bCs/>
          <w:sz w:val="24"/>
          <w:szCs w:val="24"/>
          <w:shd w:val="clear" w:color="auto" w:fill="FFFFFF"/>
        </w:rPr>
        <w:t xml:space="preserve"> </w:t>
      </w:r>
      <w:r w:rsidR="00FA5789" w:rsidRPr="00FA5789">
        <w:rPr>
          <w:rFonts w:ascii="Times New Roman" w:hAnsi="Times New Roman" w:cs="Times New Roman"/>
          <w:bCs/>
          <w:sz w:val="24"/>
          <w:szCs w:val="24"/>
        </w:rPr>
        <w:t>The circuit threshold is the 200th-highest hourly load on that circuit from the previous year.</w:t>
      </w:r>
    </w:p>
    <w:p w14:paraId="3D31E28A" w14:textId="77777777" w:rsidR="000C64AD" w:rsidRPr="00FD3D70" w:rsidRDefault="000C64AD" w:rsidP="000C64AD">
      <w:pPr>
        <w:spacing w:line="276" w:lineRule="auto"/>
        <w:rPr>
          <w:rFonts w:ascii="Times New Roman" w:hAnsi="Times New Roman" w:cs="Times New Roman"/>
          <w:sz w:val="24"/>
          <w:szCs w:val="24"/>
        </w:rPr>
      </w:pPr>
    </w:p>
    <w:p w14:paraId="3DCC94A3" w14:textId="5EB1A23C" w:rsidR="000C64AD" w:rsidRDefault="000C64AD" w:rsidP="000C64AD">
      <w:pPr>
        <w:pStyle w:val="ListParagraph"/>
        <w:widowControl/>
        <w:numPr>
          <w:ilvl w:val="0"/>
          <w:numId w:val="11"/>
        </w:numPr>
        <w:spacing w:line="276" w:lineRule="auto"/>
        <w:contextualSpacing/>
        <w:rPr>
          <w:rFonts w:ascii="Times New Roman" w:hAnsi="Times New Roman" w:cs="Times New Roman"/>
          <w:sz w:val="24"/>
          <w:szCs w:val="24"/>
        </w:rPr>
      </w:pPr>
      <w:r w:rsidRPr="00FD3D70">
        <w:rPr>
          <w:rFonts w:ascii="Times New Roman" w:hAnsi="Times New Roman" w:cs="Times New Roman"/>
          <w:sz w:val="24"/>
          <w:szCs w:val="24"/>
        </w:rPr>
        <w:t xml:space="preserve">How is the circuit </w:t>
      </w:r>
      <w:r w:rsidRPr="00FD3D70">
        <w:rPr>
          <w:rFonts w:ascii="Times New Roman" w:hAnsi="Times New Roman" w:cs="Times New Roman"/>
          <w:b/>
          <w:i/>
          <w:sz w:val="24"/>
          <w:szCs w:val="24"/>
        </w:rPr>
        <w:t>threshold</w:t>
      </w:r>
      <w:r w:rsidRPr="00FD3D70">
        <w:rPr>
          <w:rFonts w:ascii="Times New Roman" w:hAnsi="Times New Roman" w:cs="Times New Roman"/>
          <w:sz w:val="24"/>
          <w:szCs w:val="24"/>
        </w:rPr>
        <w:t> created and determined, please explain? </w:t>
      </w:r>
    </w:p>
    <w:p w14:paraId="5FA9AF16" w14:textId="38A74BEA" w:rsidR="00276B27" w:rsidRDefault="00276B27" w:rsidP="00276B27">
      <w:pPr>
        <w:widowControl/>
        <w:spacing w:line="276" w:lineRule="auto"/>
        <w:contextualSpacing/>
        <w:rPr>
          <w:rFonts w:ascii="Times New Roman" w:hAnsi="Times New Roman" w:cs="Times New Roman"/>
          <w:sz w:val="24"/>
          <w:szCs w:val="24"/>
        </w:rPr>
      </w:pPr>
    </w:p>
    <w:p w14:paraId="07F97ED0" w14:textId="6D263E52" w:rsidR="00276B27" w:rsidRPr="00276B27" w:rsidRDefault="00276B27" w:rsidP="00276B27">
      <w:pPr>
        <w:pStyle w:val="ListParagraph"/>
        <w:widowControl/>
        <w:spacing w:line="276" w:lineRule="auto"/>
        <w:contextualSpacing/>
        <w:rPr>
          <w:rFonts w:ascii="Times New Roman" w:hAnsi="Times New Roman" w:cs="Times New Roman"/>
          <w:color w:val="000000"/>
          <w:sz w:val="24"/>
          <w:szCs w:val="24"/>
        </w:rPr>
      </w:pPr>
      <w:r w:rsidRPr="00DB04A9">
        <w:rPr>
          <w:rFonts w:ascii="Times New Roman" w:hAnsi="Times New Roman" w:cs="Times New Roman"/>
          <w:b/>
          <w:bCs/>
          <w:sz w:val="24"/>
          <w:szCs w:val="24"/>
          <w:shd w:val="clear" w:color="auto" w:fill="FFFFFF"/>
        </w:rPr>
        <w:t>SDG&amp;E Response:</w:t>
      </w:r>
    </w:p>
    <w:p w14:paraId="6A3BBBD3" w14:textId="7DAF07C5" w:rsidR="00897339" w:rsidRPr="002C110B" w:rsidRDefault="00897339" w:rsidP="00897339">
      <w:pPr>
        <w:widowControl/>
        <w:contextualSpacing/>
        <w:rPr>
          <w:rFonts w:ascii="Times New Roman" w:eastAsia="Times New Roman" w:hAnsi="Times New Roman" w:cs="Times New Roman"/>
          <w:snapToGrid w:val="0"/>
          <w:sz w:val="24"/>
          <w:szCs w:val="20"/>
        </w:rPr>
      </w:pPr>
      <w:r w:rsidRPr="002C110B">
        <w:rPr>
          <w:rFonts w:ascii="Times New Roman" w:eastAsia="Times New Roman" w:hAnsi="Times New Roman" w:cs="Times New Roman"/>
          <w:snapToGrid w:val="0"/>
          <w:sz w:val="24"/>
          <w:szCs w:val="20"/>
        </w:rPr>
        <w:t>Distribution events (D-CPP) are generated from an internal forecast, where each circuit is modeled individually</w:t>
      </w:r>
      <w:r w:rsidR="00D64D2B">
        <w:rPr>
          <w:rFonts w:ascii="Times New Roman" w:eastAsia="Times New Roman" w:hAnsi="Times New Roman" w:cs="Times New Roman"/>
          <w:snapToGrid w:val="0"/>
          <w:sz w:val="24"/>
          <w:szCs w:val="20"/>
        </w:rPr>
        <w:t>,</w:t>
      </w:r>
      <w:r w:rsidRPr="002C110B">
        <w:rPr>
          <w:rFonts w:ascii="Times New Roman" w:eastAsia="Times New Roman" w:hAnsi="Times New Roman" w:cs="Times New Roman"/>
          <w:snapToGrid w:val="0"/>
          <w:sz w:val="24"/>
          <w:szCs w:val="20"/>
        </w:rPr>
        <w:t xml:space="preserve"> producing an hourly forecast for the circuit. The day-ahead forecast for each circuit is then matched to the circuit’s respective event threshold</w:t>
      </w:r>
      <w:r w:rsidR="00D64D2B">
        <w:rPr>
          <w:rFonts w:ascii="Times New Roman" w:eastAsia="Times New Roman" w:hAnsi="Times New Roman" w:cs="Times New Roman"/>
          <w:snapToGrid w:val="0"/>
          <w:sz w:val="24"/>
          <w:szCs w:val="20"/>
        </w:rPr>
        <w:t>,</w:t>
      </w:r>
      <w:r w:rsidRPr="002C110B">
        <w:rPr>
          <w:rFonts w:ascii="Times New Roman" w:eastAsia="Times New Roman" w:hAnsi="Times New Roman" w:cs="Times New Roman"/>
          <w:snapToGrid w:val="0"/>
          <w:sz w:val="24"/>
          <w:szCs w:val="20"/>
        </w:rPr>
        <w:t xml:space="preserve"> which is based off of the top 200 hours of the previous year. If circuit hourly forecast crosses the event threshold, a DCPP event is triggered for that hour(s). </w:t>
      </w:r>
    </w:p>
    <w:p w14:paraId="6C6EF626" w14:textId="77777777" w:rsidR="000C64AD" w:rsidRPr="00FD3D70" w:rsidRDefault="000C64AD" w:rsidP="000C64AD">
      <w:pPr>
        <w:spacing w:line="276" w:lineRule="auto"/>
        <w:rPr>
          <w:rFonts w:ascii="Times New Roman" w:hAnsi="Times New Roman" w:cs="Times New Roman"/>
          <w:sz w:val="24"/>
          <w:szCs w:val="24"/>
        </w:rPr>
      </w:pPr>
    </w:p>
    <w:p w14:paraId="77E5EDD6" w14:textId="0982B11B" w:rsidR="000C64AD" w:rsidRDefault="000C64AD" w:rsidP="000C64AD">
      <w:pPr>
        <w:pStyle w:val="ListParagraph"/>
        <w:widowControl/>
        <w:numPr>
          <w:ilvl w:val="0"/>
          <w:numId w:val="11"/>
        </w:numPr>
        <w:spacing w:line="276" w:lineRule="auto"/>
        <w:contextualSpacing/>
        <w:rPr>
          <w:rFonts w:ascii="Times New Roman" w:hAnsi="Times New Roman" w:cs="Times New Roman"/>
          <w:sz w:val="24"/>
          <w:szCs w:val="24"/>
        </w:rPr>
      </w:pPr>
      <w:r w:rsidRPr="00FD3D70">
        <w:rPr>
          <w:rFonts w:ascii="Times New Roman" w:hAnsi="Times New Roman" w:cs="Times New Roman"/>
          <w:sz w:val="24"/>
          <w:szCs w:val="24"/>
        </w:rPr>
        <w:t>What is the formula for the </w:t>
      </w:r>
      <w:r w:rsidRPr="00FD3D70">
        <w:rPr>
          <w:rFonts w:ascii="Times New Roman" w:hAnsi="Times New Roman" w:cs="Times New Roman"/>
          <w:b/>
          <w:i/>
          <w:sz w:val="24"/>
          <w:szCs w:val="24"/>
        </w:rPr>
        <w:t>threshold</w:t>
      </w:r>
      <w:r w:rsidRPr="00FD3D70">
        <w:rPr>
          <w:rFonts w:ascii="Times New Roman" w:hAnsi="Times New Roman" w:cs="Times New Roman"/>
          <w:sz w:val="24"/>
          <w:szCs w:val="24"/>
        </w:rPr>
        <w:t xml:space="preserve">?   </w:t>
      </w:r>
    </w:p>
    <w:p w14:paraId="75D10D7B" w14:textId="56FF8CC9" w:rsidR="00276B27" w:rsidRDefault="00276B27" w:rsidP="00276B27">
      <w:pPr>
        <w:widowControl/>
        <w:spacing w:line="276" w:lineRule="auto"/>
        <w:contextualSpacing/>
        <w:rPr>
          <w:rFonts w:ascii="Times New Roman" w:hAnsi="Times New Roman" w:cs="Times New Roman"/>
          <w:sz w:val="24"/>
          <w:szCs w:val="24"/>
        </w:rPr>
      </w:pPr>
    </w:p>
    <w:p w14:paraId="25931816" w14:textId="77777777" w:rsidR="00E1277D" w:rsidRPr="00C0216F" w:rsidRDefault="00276B27" w:rsidP="00E1277D">
      <w:pPr>
        <w:pStyle w:val="ListParagraph"/>
        <w:spacing w:line="276" w:lineRule="auto"/>
        <w:rPr>
          <w:rStyle w:val="Strong"/>
          <w:rFonts w:ascii="Arial" w:hAnsi="Arial" w:cs="Arial"/>
          <w:b w:val="0"/>
          <w:bCs w:val="0"/>
          <w:color w:val="FF0000"/>
        </w:rPr>
      </w:pPr>
      <w:r w:rsidRPr="00E1277D">
        <w:rPr>
          <w:rFonts w:ascii="Times New Roman" w:hAnsi="Times New Roman" w:cs="Times New Roman"/>
          <w:b/>
          <w:bCs/>
          <w:sz w:val="24"/>
          <w:szCs w:val="24"/>
          <w:shd w:val="clear" w:color="auto" w:fill="FFFFFF"/>
        </w:rPr>
        <w:t>SDG&amp;E Response:</w:t>
      </w:r>
      <w:r w:rsidR="002C0F11" w:rsidRPr="00E1277D">
        <w:rPr>
          <w:rFonts w:ascii="Times New Roman" w:eastAsia="Times New Roman" w:hAnsi="Times New Roman" w:cs="Times New Roman"/>
          <w:snapToGrid w:val="0"/>
          <w:sz w:val="24"/>
          <w:szCs w:val="20"/>
        </w:rPr>
        <w:t xml:space="preserve"> </w:t>
      </w:r>
      <w:r w:rsidR="00E1277D" w:rsidRPr="00E1277D">
        <w:rPr>
          <w:rFonts w:ascii="Times New Roman" w:eastAsia="Times New Roman" w:hAnsi="Times New Roman" w:cs="Times New Roman"/>
          <w:bCs/>
          <w:snapToGrid w:val="0"/>
          <w:sz w:val="24"/>
          <w:szCs w:val="20"/>
        </w:rPr>
        <w:t>The circuit threshold is the 200th-highest hourly load on that circuit from the previous year.</w:t>
      </w:r>
    </w:p>
    <w:p w14:paraId="4AE22972" w14:textId="77777777" w:rsidR="000C64AD" w:rsidRPr="00FD3D70" w:rsidRDefault="000C64AD" w:rsidP="000C64AD">
      <w:pPr>
        <w:spacing w:line="276" w:lineRule="auto"/>
        <w:rPr>
          <w:rFonts w:ascii="Times New Roman" w:hAnsi="Times New Roman" w:cs="Times New Roman"/>
          <w:sz w:val="24"/>
          <w:szCs w:val="24"/>
        </w:rPr>
      </w:pPr>
    </w:p>
    <w:p w14:paraId="615CDA3F" w14:textId="22508DEE" w:rsidR="000C64AD" w:rsidRDefault="000C64AD" w:rsidP="000C64AD">
      <w:pPr>
        <w:pStyle w:val="ListParagraph"/>
        <w:widowControl/>
        <w:numPr>
          <w:ilvl w:val="0"/>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What is the threshold level?</w:t>
      </w:r>
    </w:p>
    <w:p w14:paraId="373019FF" w14:textId="77777777" w:rsidR="00E043B1" w:rsidRDefault="00E043B1" w:rsidP="00276B27">
      <w:pPr>
        <w:widowControl/>
        <w:spacing w:line="276" w:lineRule="auto"/>
        <w:contextualSpacing/>
        <w:rPr>
          <w:rFonts w:ascii="Times New Roman" w:hAnsi="Times New Roman" w:cs="Times New Roman"/>
          <w:color w:val="000000"/>
          <w:sz w:val="24"/>
          <w:szCs w:val="24"/>
        </w:rPr>
      </w:pPr>
    </w:p>
    <w:p w14:paraId="738C2FD8" w14:textId="77777777" w:rsidR="007C7193" w:rsidRPr="00C0216F" w:rsidRDefault="00276B27" w:rsidP="007C7193">
      <w:pPr>
        <w:pStyle w:val="ListParagraph"/>
        <w:spacing w:line="276" w:lineRule="auto"/>
        <w:rPr>
          <w:rStyle w:val="Strong"/>
          <w:rFonts w:ascii="Arial" w:hAnsi="Arial" w:cs="Arial"/>
          <w:b w:val="0"/>
          <w:bCs w:val="0"/>
          <w:color w:val="FF0000"/>
        </w:rPr>
      </w:pPr>
      <w:r w:rsidRPr="007C7193">
        <w:rPr>
          <w:rFonts w:ascii="Times New Roman" w:hAnsi="Times New Roman" w:cs="Times New Roman"/>
          <w:b/>
          <w:bCs/>
          <w:sz w:val="24"/>
          <w:szCs w:val="24"/>
          <w:shd w:val="clear" w:color="auto" w:fill="FFFFFF"/>
        </w:rPr>
        <w:t>SDG&amp;E Response:</w:t>
      </w:r>
      <w:r w:rsidR="002C0F11" w:rsidRPr="007C7193">
        <w:rPr>
          <w:rFonts w:ascii="Times New Roman" w:hAnsi="Times New Roman" w:cs="Times New Roman"/>
          <w:b/>
          <w:bCs/>
          <w:sz w:val="24"/>
          <w:szCs w:val="24"/>
          <w:shd w:val="clear" w:color="auto" w:fill="FFFFFF"/>
        </w:rPr>
        <w:t xml:space="preserve"> </w:t>
      </w:r>
      <w:r w:rsidR="007C7193" w:rsidRPr="007C7193">
        <w:rPr>
          <w:rFonts w:ascii="Times New Roman" w:eastAsia="Times New Roman" w:hAnsi="Times New Roman" w:cs="Times New Roman"/>
          <w:bCs/>
          <w:snapToGrid w:val="0"/>
          <w:sz w:val="24"/>
          <w:szCs w:val="20"/>
        </w:rPr>
        <w:t>The circuit threshold is the 200th-highest hourly load on that circuit from the previous year.</w:t>
      </w:r>
    </w:p>
    <w:p w14:paraId="01BDB599" w14:textId="77777777" w:rsidR="00E043B1" w:rsidRPr="00FD3D70" w:rsidRDefault="00E043B1" w:rsidP="000C64AD">
      <w:pPr>
        <w:pStyle w:val="ListParagraph"/>
        <w:rPr>
          <w:rFonts w:ascii="Times New Roman" w:hAnsi="Times New Roman" w:cs="Times New Roman"/>
          <w:color w:val="000000"/>
          <w:sz w:val="24"/>
          <w:szCs w:val="24"/>
        </w:rPr>
      </w:pPr>
    </w:p>
    <w:p w14:paraId="67EB4829" w14:textId="7DC0A2A1" w:rsidR="000C64AD" w:rsidRPr="00276B27" w:rsidRDefault="000C64AD" w:rsidP="000C64AD">
      <w:pPr>
        <w:pStyle w:val="ListParagraph"/>
        <w:widowControl/>
        <w:numPr>
          <w:ilvl w:val="0"/>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sz w:val="24"/>
          <w:szCs w:val="24"/>
        </w:rPr>
        <w:t>What is the current (2019) distribution event threshold for SDAP circuit?</w:t>
      </w:r>
    </w:p>
    <w:p w14:paraId="622C05B4" w14:textId="057A300D" w:rsidR="00276B27" w:rsidRDefault="00276B27" w:rsidP="00276B27">
      <w:pPr>
        <w:widowControl/>
        <w:spacing w:line="276" w:lineRule="auto"/>
        <w:contextualSpacing/>
        <w:rPr>
          <w:rFonts w:ascii="Times New Roman" w:hAnsi="Times New Roman" w:cs="Times New Roman"/>
          <w:color w:val="000000"/>
          <w:sz w:val="24"/>
          <w:szCs w:val="24"/>
        </w:rPr>
      </w:pPr>
    </w:p>
    <w:p w14:paraId="71391F5D" w14:textId="3ECA0B39" w:rsidR="00276B27" w:rsidRPr="00276B27" w:rsidRDefault="00276B27" w:rsidP="00276B27">
      <w:pPr>
        <w:pStyle w:val="ListParagraph"/>
        <w:widowControl/>
        <w:spacing w:line="276" w:lineRule="auto"/>
        <w:contextualSpacing/>
        <w:rPr>
          <w:rFonts w:ascii="Times New Roman" w:hAnsi="Times New Roman" w:cs="Times New Roman"/>
          <w:color w:val="000000"/>
          <w:sz w:val="24"/>
          <w:szCs w:val="24"/>
        </w:rPr>
      </w:pPr>
      <w:r w:rsidRPr="00A17118">
        <w:rPr>
          <w:rFonts w:ascii="Times New Roman" w:hAnsi="Times New Roman" w:cs="Times New Roman"/>
          <w:b/>
          <w:bCs/>
          <w:sz w:val="24"/>
          <w:szCs w:val="24"/>
          <w:shd w:val="clear" w:color="auto" w:fill="FFFFFF"/>
        </w:rPr>
        <w:lastRenderedPageBreak/>
        <w:t>SDG&amp;E Response:</w:t>
      </w:r>
      <w:r w:rsidR="002C0F11">
        <w:rPr>
          <w:rFonts w:ascii="Times New Roman" w:hAnsi="Times New Roman" w:cs="Times New Roman"/>
          <w:b/>
          <w:bCs/>
          <w:sz w:val="24"/>
          <w:szCs w:val="24"/>
          <w:shd w:val="clear" w:color="auto" w:fill="FFFFFF"/>
        </w:rPr>
        <w:t xml:space="preserve"> </w:t>
      </w:r>
      <w:r w:rsidR="00A17118" w:rsidRPr="00A17118">
        <w:rPr>
          <w:rFonts w:ascii="Times New Roman" w:eastAsia="Times New Roman" w:hAnsi="Times New Roman" w:cs="Times New Roman"/>
          <w:snapToGrid w:val="0"/>
          <w:sz w:val="24"/>
          <w:szCs w:val="20"/>
        </w:rPr>
        <w:t xml:space="preserve">The current distribution event threshold for Circuit 0491 is 2545.9 </w:t>
      </w:r>
      <w:r w:rsidR="00EF75D1">
        <w:rPr>
          <w:rFonts w:ascii="Times New Roman" w:eastAsia="Times New Roman" w:hAnsi="Times New Roman" w:cs="Times New Roman"/>
          <w:snapToGrid w:val="0"/>
          <w:sz w:val="24"/>
          <w:szCs w:val="20"/>
        </w:rPr>
        <w:t>k</w:t>
      </w:r>
      <w:r w:rsidR="00A17118" w:rsidRPr="00A17118">
        <w:rPr>
          <w:rFonts w:ascii="Times New Roman" w:eastAsia="Times New Roman" w:hAnsi="Times New Roman" w:cs="Times New Roman"/>
          <w:snapToGrid w:val="0"/>
          <w:sz w:val="24"/>
          <w:szCs w:val="20"/>
        </w:rPr>
        <w:t>W</w:t>
      </w:r>
      <w:r w:rsidR="00D64D2B">
        <w:rPr>
          <w:rFonts w:ascii="Times New Roman" w:eastAsia="Times New Roman" w:hAnsi="Times New Roman" w:cs="Times New Roman"/>
          <w:snapToGrid w:val="0"/>
          <w:sz w:val="24"/>
          <w:szCs w:val="20"/>
        </w:rPr>
        <w:t>.</w:t>
      </w:r>
    </w:p>
    <w:p w14:paraId="27DB2E82" w14:textId="77777777" w:rsidR="00F7226E" w:rsidRPr="00FD3D70" w:rsidRDefault="00F7226E" w:rsidP="000C64AD">
      <w:pPr>
        <w:spacing w:line="276" w:lineRule="auto"/>
        <w:rPr>
          <w:rFonts w:ascii="Times New Roman" w:hAnsi="Times New Roman" w:cs="Times New Roman"/>
          <w:color w:val="000000"/>
          <w:sz w:val="24"/>
          <w:szCs w:val="24"/>
        </w:rPr>
      </w:pPr>
    </w:p>
    <w:p w14:paraId="49670C49" w14:textId="77777777" w:rsidR="000C64AD" w:rsidRPr="00FD3D70" w:rsidRDefault="000C64AD" w:rsidP="000C64AD">
      <w:pPr>
        <w:pStyle w:val="ListParagraph"/>
        <w:widowControl/>
        <w:numPr>
          <w:ilvl w:val="0"/>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 xml:space="preserve">What was the Circuit Threshold Level amount for SDAP circuit in the following years? </w:t>
      </w:r>
    </w:p>
    <w:p w14:paraId="114F19B3" w14:textId="383E3F67" w:rsidR="000C64AD" w:rsidRDefault="000C64AD" w:rsidP="000C64AD">
      <w:pPr>
        <w:pStyle w:val="ListParagraph"/>
        <w:widowControl/>
        <w:numPr>
          <w:ilvl w:val="2"/>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2019, 2018, 2017, 2016</w:t>
      </w:r>
    </w:p>
    <w:p w14:paraId="5EDDE3E4" w14:textId="77777777" w:rsidR="000C102C" w:rsidRDefault="00067D4D" w:rsidP="00D95FA8">
      <w:pPr>
        <w:spacing w:line="276" w:lineRule="auto"/>
        <w:rPr>
          <w:rFonts w:ascii="Times New Roman" w:hAnsi="Times New Roman" w:cs="Times New Roman"/>
          <w:b/>
          <w:bCs/>
          <w:sz w:val="24"/>
          <w:szCs w:val="24"/>
          <w:shd w:val="clear" w:color="auto" w:fill="FFFFFF"/>
        </w:rPr>
      </w:pPr>
      <w:r w:rsidRPr="000C102C">
        <w:rPr>
          <w:rFonts w:ascii="Times New Roman" w:hAnsi="Times New Roman" w:cs="Times New Roman"/>
          <w:b/>
          <w:bCs/>
          <w:sz w:val="24"/>
          <w:szCs w:val="24"/>
          <w:shd w:val="clear" w:color="auto" w:fill="FFFFFF"/>
        </w:rPr>
        <w:t>SDG&amp;E Response:</w:t>
      </w:r>
      <w:r w:rsidR="00724815">
        <w:rPr>
          <w:rFonts w:ascii="Times New Roman" w:hAnsi="Times New Roman" w:cs="Times New Roman"/>
          <w:b/>
          <w:bCs/>
          <w:sz w:val="24"/>
          <w:szCs w:val="24"/>
          <w:shd w:val="clear" w:color="auto" w:fill="FFFFFF"/>
        </w:rPr>
        <w:t xml:space="preserve"> </w:t>
      </w:r>
      <w:r w:rsidR="000C102C">
        <w:rPr>
          <w:rFonts w:ascii="Times New Roman" w:hAnsi="Times New Roman" w:cs="Times New Roman"/>
          <w:b/>
          <w:bCs/>
          <w:sz w:val="24"/>
          <w:szCs w:val="24"/>
          <w:shd w:val="clear" w:color="auto" w:fill="FFFFFF"/>
        </w:rPr>
        <w:t xml:space="preserve"> </w:t>
      </w:r>
    </w:p>
    <w:p w14:paraId="2981745F" w14:textId="32ED0339" w:rsidR="000C102C" w:rsidRPr="000C102C" w:rsidRDefault="000C102C" w:rsidP="00D95FA8">
      <w:pPr>
        <w:spacing w:line="276" w:lineRule="auto"/>
        <w:rPr>
          <w:rFonts w:ascii="Times New Roman" w:hAnsi="Times New Roman" w:cs="Times New Roman"/>
          <w:color w:val="000000"/>
          <w:sz w:val="24"/>
          <w:szCs w:val="24"/>
        </w:rPr>
      </w:pPr>
      <w:r w:rsidRPr="000C102C">
        <w:rPr>
          <w:rFonts w:ascii="Times New Roman" w:hAnsi="Times New Roman" w:cs="Times New Roman"/>
          <w:color w:val="000000"/>
          <w:sz w:val="24"/>
          <w:szCs w:val="24"/>
        </w:rPr>
        <w:t xml:space="preserve">2016: 2560.3 </w:t>
      </w:r>
      <w:r>
        <w:rPr>
          <w:rFonts w:ascii="Times New Roman" w:hAnsi="Times New Roman" w:cs="Times New Roman"/>
          <w:color w:val="000000"/>
          <w:sz w:val="24"/>
          <w:szCs w:val="24"/>
        </w:rPr>
        <w:t>k</w:t>
      </w:r>
      <w:r w:rsidRPr="000C102C">
        <w:rPr>
          <w:rFonts w:ascii="Times New Roman" w:hAnsi="Times New Roman" w:cs="Times New Roman"/>
          <w:color w:val="000000"/>
          <w:sz w:val="24"/>
          <w:szCs w:val="24"/>
        </w:rPr>
        <w:t>W</w:t>
      </w:r>
    </w:p>
    <w:p w14:paraId="665A1F99" w14:textId="5124D184" w:rsidR="000C102C" w:rsidRPr="000C102C" w:rsidRDefault="000C102C" w:rsidP="00D95FA8">
      <w:pPr>
        <w:spacing w:line="276" w:lineRule="auto"/>
        <w:rPr>
          <w:rFonts w:ascii="Times New Roman" w:hAnsi="Times New Roman" w:cs="Times New Roman"/>
          <w:color w:val="000000"/>
          <w:sz w:val="24"/>
          <w:szCs w:val="24"/>
        </w:rPr>
      </w:pPr>
      <w:r w:rsidRPr="000C102C">
        <w:rPr>
          <w:rFonts w:ascii="Times New Roman" w:hAnsi="Times New Roman" w:cs="Times New Roman"/>
          <w:color w:val="000000"/>
          <w:sz w:val="24"/>
          <w:szCs w:val="24"/>
        </w:rPr>
        <w:t xml:space="preserve">2017: 2490.2 </w:t>
      </w:r>
      <w:r>
        <w:rPr>
          <w:rFonts w:ascii="Times New Roman" w:hAnsi="Times New Roman" w:cs="Times New Roman"/>
          <w:color w:val="000000"/>
          <w:sz w:val="24"/>
          <w:szCs w:val="24"/>
        </w:rPr>
        <w:t>k</w:t>
      </w:r>
      <w:r w:rsidRPr="000C102C">
        <w:rPr>
          <w:rFonts w:ascii="Times New Roman" w:hAnsi="Times New Roman" w:cs="Times New Roman"/>
          <w:color w:val="000000"/>
          <w:sz w:val="24"/>
          <w:szCs w:val="24"/>
        </w:rPr>
        <w:t>W</w:t>
      </w:r>
    </w:p>
    <w:p w14:paraId="2A7B2E8A" w14:textId="2290C2DE" w:rsidR="000C102C" w:rsidRPr="000C102C" w:rsidRDefault="000C102C" w:rsidP="00D95FA8">
      <w:pPr>
        <w:spacing w:line="276" w:lineRule="auto"/>
        <w:rPr>
          <w:rFonts w:ascii="Times New Roman" w:hAnsi="Times New Roman" w:cs="Times New Roman"/>
          <w:color w:val="000000"/>
          <w:sz w:val="24"/>
          <w:szCs w:val="24"/>
        </w:rPr>
      </w:pPr>
      <w:r w:rsidRPr="000C102C">
        <w:rPr>
          <w:rFonts w:ascii="Times New Roman" w:hAnsi="Times New Roman" w:cs="Times New Roman"/>
          <w:color w:val="000000"/>
          <w:sz w:val="24"/>
          <w:szCs w:val="24"/>
        </w:rPr>
        <w:t xml:space="preserve">2018: 2545.9 </w:t>
      </w:r>
      <w:r>
        <w:rPr>
          <w:rFonts w:ascii="Times New Roman" w:hAnsi="Times New Roman" w:cs="Times New Roman"/>
          <w:color w:val="000000"/>
          <w:sz w:val="24"/>
          <w:szCs w:val="24"/>
        </w:rPr>
        <w:t>k</w:t>
      </w:r>
      <w:r w:rsidRPr="000C102C">
        <w:rPr>
          <w:rFonts w:ascii="Times New Roman" w:hAnsi="Times New Roman" w:cs="Times New Roman"/>
          <w:color w:val="000000"/>
          <w:sz w:val="24"/>
          <w:szCs w:val="24"/>
        </w:rPr>
        <w:t>W</w:t>
      </w:r>
    </w:p>
    <w:p w14:paraId="52B52492" w14:textId="5C308EB4" w:rsidR="000C102C" w:rsidRPr="000C102C" w:rsidRDefault="000C102C" w:rsidP="00D95FA8">
      <w:pPr>
        <w:spacing w:line="276" w:lineRule="auto"/>
        <w:rPr>
          <w:rFonts w:ascii="Times New Roman" w:hAnsi="Times New Roman" w:cs="Times New Roman"/>
          <w:color w:val="000000"/>
          <w:sz w:val="24"/>
          <w:szCs w:val="24"/>
        </w:rPr>
      </w:pPr>
      <w:r w:rsidRPr="000C102C">
        <w:rPr>
          <w:rFonts w:ascii="Times New Roman" w:hAnsi="Times New Roman" w:cs="Times New Roman"/>
          <w:color w:val="000000"/>
          <w:sz w:val="24"/>
          <w:szCs w:val="24"/>
        </w:rPr>
        <w:t xml:space="preserve">2019: </w:t>
      </w:r>
      <w:r>
        <w:rPr>
          <w:rFonts w:ascii="Times New Roman" w:hAnsi="Times New Roman" w:cs="Times New Roman"/>
          <w:color w:val="000000"/>
          <w:sz w:val="24"/>
          <w:szCs w:val="24"/>
        </w:rPr>
        <w:t>Not Yet Determined</w:t>
      </w:r>
    </w:p>
    <w:p w14:paraId="471320DE" w14:textId="77777777" w:rsidR="00067D4D" w:rsidRPr="00E043B1" w:rsidRDefault="00067D4D" w:rsidP="00E043B1">
      <w:pPr>
        <w:widowControl/>
        <w:spacing w:line="276" w:lineRule="auto"/>
        <w:contextualSpacing/>
        <w:rPr>
          <w:rFonts w:ascii="Times New Roman" w:hAnsi="Times New Roman" w:cs="Times New Roman"/>
          <w:color w:val="000000"/>
          <w:sz w:val="24"/>
          <w:szCs w:val="24"/>
        </w:rPr>
      </w:pPr>
    </w:p>
    <w:p w14:paraId="6A3354B3" w14:textId="77777777" w:rsidR="00067D4D" w:rsidRDefault="000C64AD" w:rsidP="00067D4D">
      <w:pPr>
        <w:pStyle w:val="ListParagraph"/>
        <w:widowControl/>
        <w:numPr>
          <w:ilvl w:val="0"/>
          <w:numId w:val="11"/>
        </w:numPr>
        <w:spacing w:line="276" w:lineRule="auto"/>
        <w:contextualSpacing/>
        <w:rPr>
          <w:rFonts w:ascii="Times New Roman" w:hAnsi="Times New Roman" w:cs="Times New Roman"/>
          <w:sz w:val="24"/>
          <w:szCs w:val="24"/>
        </w:rPr>
      </w:pPr>
      <w:r w:rsidRPr="00FD3D70">
        <w:rPr>
          <w:rFonts w:ascii="Times New Roman" w:hAnsi="Times New Roman" w:cs="Times New Roman"/>
          <w:sz w:val="24"/>
          <w:szCs w:val="24"/>
        </w:rPr>
        <w:t>For 2019, is the threshold equal to the 200</w:t>
      </w:r>
      <w:r w:rsidRPr="00FD3D70">
        <w:rPr>
          <w:rFonts w:ascii="Times New Roman" w:hAnsi="Times New Roman" w:cs="Times New Roman"/>
          <w:sz w:val="24"/>
          <w:szCs w:val="24"/>
          <w:vertAlign w:val="superscript"/>
        </w:rPr>
        <w:t>th</w:t>
      </w:r>
      <w:r w:rsidRPr="00FD3D70">
        <w:rPr>
          <w:rFonts w:ascii="Times New Roman" w:hAnsi="Times New Roman" w:cs="Times New Roman"/>
          <w:sz w:val="24"/>
          <w:szCs w:val="24"/>
        </w:rPr>
        <w:t xml:space="preserve"> highest circuit load observed in 2018 (i.e., the minimum of the top 200 hourly circuit loads)?  If not, please explain.</w:t>
      </w:r>
    </w:p>
    <w:p w14:paraId="63E7CEFA" w14:textId="77777777" w:rsidR="00D95FA8" w:rsidRDefault="00D95FA8" w:rsidP="00D95FA8">
      <w:pPr>
        <w:pStyle w:val="ListParagraph"/>
        <w:spacing w:line="276" w:lineRule="auto"/>
        <w:rPr>
          <w:rFonts w:ascii="Times New Roman" w:hAnsi="Times New Roman" w:cs="Times New Roman"/>
          <w:b/>
          <w:bCs/>
          <w:sz w:val="24"/>
          <w:szCs w:val="24"/>
          <w:shd w:val="clear" w:color="auto" w:fill="FFFFFF"/>
        </w:rPr>
      </w:pPr>
    </w:p>
    <w:p w14:paraId="02F39588" w14:textId="0A4DC0BD" w:rsidR="00D95FA8" w:rsidRPr="00D95FA8" w:rsidRDefault="00067D4D" w:rsidP="00D95FA8">
      <w:pPr>
        <w:pStyle w:val="ListParagraph"/>
        <w:spacing w:line="276" w:lineRule="auto"/>
        <w:rPr>
          <w:rStyle w:val="Strong"/>
          <w:rFonts w:ascii="Arial" w:hAnsi="Arial" w:cs="Arial"/>
          <w:bCs w:val="0"/>
          <w:color w:val="FF0000"/>
        </w:rPr>
      </w:pPr>
      <w:r w:rsidRPr="00D95FA8">
        <w:rPr>
          <w:rFonts w:ascii="Times New Roman" w:hAnsi="Times New Roman" w:cs="Times New Roman"/>
          <w:b/>
          <w:bCs/>
          <w:sz w:val="24"/>
          <w:szCs w:val="24"/>
          <w:shd w:val="clear" w:color="auto" w:fill="FFFFFF"/>
        </w:rPr>
        <w:t>SDG&amp;E Response:</w:t>
      </w:r>
      <w:r w:rsidR="00724815">
        <w:rPr>
          <w:rFonts w:ascii="Times New Roman" w:hAnsi="Times New Roman" w:cs="Times New Roman"/>
          <w:b/>
          <w:bCs/>
          <w:sz w:val="24"/>
          <w:szCs w:val="24"/>
          <w:shd w:val="clear" w:color="auto" w:fill="FFFFFF"/>
        </w:rPr>
        <w:t xml:space="preserve"> </w:t>
      </w:r>
      <w:r w:rsidR="00D95FA8" w:rsidRPr="00D95FA8">
        <w:rPr>
          <w:rFonts w:ascii="Times New Roman" w:hAnsi="Times New Roman" w:cs="Times New Roman"/>
          <w:bCs/>
          <w:sz w:val="24"/>
          <w:szCs w:val="24"/>
        </w:rPr>
        <w:t>Yes. The circuit threshold for 2019 is the 200th-highest hourly circuit load from 2018.</w:t>
      </w:r>
      <w:r w:rsidR="00D95FA8" w:rsidRPr="00D95FA8">
        <w:rPr>
          <w:rStyle w:val="Strong"/>
          <w:rFonts w:ascii="Arial" w:hAnsi="Arial" w:cs="Arial"/>
          <w:color w:val="FF0000"/>
        </w:rPr>
        <w:t xml:space="preserve"> </w:t>
      </w:r>
    </w:p>
    <w:p w14:paraId="7A73AF95" w14:textId="77777777" w:rsidR="000C64AD" w:rsidRPr="00FD3D70" w:rsidRDefault="000C64AD" w:rsidP="000C64AD">
      <w:pPr>
        <w:spacing w:line="276" w:lineRule="auto"/>
        <w:rPr>
          <w:rFonts w:ascii="Times New Roman" w:hAnsi="Times New Roman" w:cs="Times New Roman"/>
          <w:sz w:val="24"/>
          <w:szCs w:val="24"/>
        </w:rPr>
      </w:pPr>
    </w:p>
    <w:p w14:paraId="4323E921" w14:textId="77777777" w:rsidR="000C64AD" w:rsidRPr="00FD3D70" w:rsidRDefault="000C64AD" w:rsidP="000C64AD">
      <w:pPr>
        <w:pStyle w:val="ListParagraph"/>
        <w:widowControl/>
        <w:numPr>
          <w:ilvl w:val="0"/>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What is the threshold level for the system that impacts SDAP?</w:t>
      </w:r>
    </w:p>
    <w:p w14:paraId="61F79075" w14:textId="77777777" w:rsidR="00887D0E" w:rsidRDefault="000C64AD" w:rsidP="00887D0E">
      <w:pPr>
        <w:pStyle w:val="ListParagraph"/>
        <w:widowControl/>
        <w:numPr>
          <w:ilvl w:val="1"/>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What is the formula?</w:t>
      </w:r>
    </w:p>
    <w:p w14:paraId="69E34C0F" w14:textId="77777777" w:rsidR="00D95EAB" w:rsidRDefault="00D95EAB" w:rsidP="00D95EAB">
      <w:pPr>
        <w:spacing w:line="276" w:lineRule="auto"/>
        <w:rPr>
          <w:rFonts w:ascii="Times New Roman" w:hAnsi="Times New Roman" w:cs="Times New Roman"/>
          <w:b/>
          <w:color w:val="000000"/>
          <w:sz w:val="24"/>
          <w:szCs w:val="24"/>
        </w:rPr>
      </w:pPr>
    </w:p>
    <w:p w14:paraId="1EB9F9C7" w14:textId="25A5EF8A" w:rsidR="00D95EAB" w:rsidRPr="00D95EAB" w:rsidRDefault="00887D0E" w:rsidP="00D95EAB">
      <w:pPr>
        <w:spacing w:line="276" w:lineRule="auto"/>
        <w:rPr>
          <w:rFonts w:ascii="Times New Roman" w:hAnsi="Times New Roman" w:cs="Times New Roman"/>
          <w:color w:val="000000"/>
          <w:sz w:val="24"/>
          <w:szCs w:val="24"/>
        </w:rPr>
      </w:pPr>
      <w:r w:rsidRPr="00D95EAB">
        <w:rPr>
          <w:rFonts w:ascii="Times New Roman" w:hAnsi="Times New Roman" w:cs="Times New Roman"/>
          <w:b/>
          <w:color w:val="000000"/>
          <w:sz w:val="24"/>
          <w:szCs w:val="24"/>
        </w:rPr>
        <w:t>SDG&amp;E Response:</w:t>
      </w:r>
      <w:r w:rsidR="00724815" w:rsidRPr="00D95EAB">
        <w:rPr>
          <w:rFonts w:ascii="Times New Roman" w:hAnsi="Times New Roman" w:cs="Times New Roman"/>
          <w:color w:val="000000"/>
          <w:sz w:val="24"/>
          <w:szCs w:val="24"/>
        </w:rPr>
        <w:t xml:space="preserve"> </w:t>
      </w:r>
      <w:r w:rsidR="00D95EAB" w:rsidRPr="00D95EAB">
        <w:rPr>
          <w:rFonts w:ascii="Times New Roman" w:hAnsi="Times New Roman" w:cs="Times New Roman"/>
          <w:color w:val="000000"/>
          <w:sz w:val="24"/>
          <w:szCs w:val="24"/>
        </w:rPr>
        <w:t>The system-level threshold is the 150th-highest hourly system load from the previous year.</w:t>
      </w:r>
    </w:p>
    <w:p w14:paraId="26D6BCDC" w14:textId="77777777" w:rsidR="000C64AD" w:rsidRPr="00FD3D70" w:rsidRDefault="000C64AD" w:rsidP="000C64AD">
      <w:pPr>
        <w:pStyle w:val="ListParagraph"/>
        <w:spacing w:line="276" w:lineRule="auto"/>
        <w:ind w:left="1440"/>
        <w:rPr>
          <w:rFonts w:ascii="Times New Roman" w:hAnsi="Times New Roman" w:cs="Times New Roman"/>
          <w:color w:val="000000"/>
          <w:sz w:val="24"/>
          <w:szCs w:val="24"/>
        </w:rPr>
      </w:pPr>
    </w:p>
    <w:p w14:paraId="17181705" w14:textId="77777777" w:rsidR="000C64AD" w:rsidRPr="00FD3D70" w:rsidRDefault="000C64AD" w:rsidP="000C64AD">
      <w:pPr>
        <w:pStyle w:val="ListParagraph"/>
        <w:widowControl/>
        <w:numPr>
          <w:ilvl w:val="0"/>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 xml:space="preserve">What was the System Threshold amount in the following years? </w:t>
      </w:r>
    </w:p>
    <w:p w14:paraId="1237DF27" w14:textId="77777777" w:rsidR="000C64AD" w:rsidRPr="00FD3D70" w:rsidRDefault="000C64AD" w:rsidP="000C64AD">
      <w:pPr>
        <w:pStyle w:val="ListParagraph"/>
        <w:widowControl/>
        <w:numPr>
          <w:ilvl w:val="2"/>
          <w:numId w:val="11"/>
        </w:numPr>
        <w:spacing w:line="276" w:lineRule="auto"/>
        <w:contextualSpacing/>
        <w:rPr>
          <w:rFonts w:ascii="Times New Roman" w:hAnsi="Times New Roman" w:cs="Times New Roman"/>
          <w:color w:val="000000"/>
          <w:sz w:val="24"/>
          <w:szCs w:val="24"/>
        </w:rPr>
      </w:pPr>
      <w:r w:rsidRPr="00FD3D70">
        <w:rPr>
          <w:rFonts w:ascii="Times New Roman" w:hAnsi="Times New Roman" w:cs="Times New Roman"/>
          <w:color w:val="000000"/>
          <w:sz w:val="24"/>
          <w:szCs w:val="24"/>
        </w:rPr>
        <w:t>2019,2018,2017,2016</w:t>
      </w:r>
    </w:p>
    <w:p w14:paraId="0478A7D3" w14:textId="77777777" w:rsidR="000C64AD" w:rsidRPr="00FD3D70" w:rsidRDefault="000C64AD" w:rsidP="000C64AD">
      <w:pPr>
        <w:spacing w:line="276" w:lineRule="auto"/>
        <w:rPr>
          <w:rFonts w:ascii="Times New Roman" w:hAnsi="Times New Roman" w:cs="Times New Roman"/>
          <w:color w:val="000000"/>
          <w:sz w:val="24"/>
          <w:szCs w:val="24"/>
        </w:rPr>
      </w:pPr>
    </w:p>
    <w:p w14:paraId="3D424A2A" w14:textId="77777777" w:rsidR="00506317" w:rsidRPr="00506317" w:rsidRDefault="00887D0E" w:rsidP="00506317">
      <w:pPr>
        <w:spacing w:line="276" w:lineRule="auto"/>
        <w:rPr>
          <w:rFonts w:ascii="Times New Roman" w:hAnsi="Times New Roman" w:cs="Times New Roman"/>
          <w:b/>
          <w:color w:val="000000"/>
          <w:sz w:val="24"/>
          <w:szCs w:val="24"/>
        </w:rPr>
      </w:pPr>
      <w:r w:rsidRPr="00506317">
        <w:rPr>
          <w:rFonts w:ascii="Times New Roman" w:hAnsi="Times New Roman" w:cs="Times New Roman"/>
          <w:b/>
          <w:color w:val="000000"/>
          <w:sz w:val="24"/>
          <w:szCs w:val="24"/>
        </w:rPr>
        <w:t>SDG&amp;E Response:</w:t>
      </w:r>
      <w:r w:rsidR="00724815" w:rsidRPr="00506317">
        <w:rPr>
          <w:rFonts w:ascii="Times New Roman" w:hAnsi="Times New Roman" w:cs="Times New Roman"/>
          <w:b/>
          <w:color w:val="000000"/>
          <w:sz w:val="24"/>
          <w:szCs w:val="24"/>
        </w:rPr>
        <w:t xml:space="preserve"> </w:t>
      </w:r>
    </w:p>
    <w:p w14:paraId="6FA8EE57" w14:textId="07E65F1F" w:rsidR="00506317" w:rsidRPr="00506317" w:rsidRDefault="00506317" w:rsidP="00506317">
      <w:pPr>
        <w:spacing w:line="276" w:lineRule="auto"/>
        <w:rPr>
          <w:rFonts w:ascii="Times New Roman" w:hAnsi="Times New Roman" w:cs="Times New Roman"/>
          <w:color w:val="000000"/>
          <w:sz w:val="24"/>
          <w:szCs w:val="24"/>
        </w:rPr>
      </w:pPr>
      <w:r w:rsidRPr="00506317">
        <w:rPr>
          <w:rFonts w:ascii="Times New Roman" w:hAnsi="Times New Roman" w:cs="Times New Roman"/>
          <w:color w:val="000000"/>
          <w:sz w:val="24"/>
          <w:szCs w:val="24"/>
        </w:rPr>
        <w:t>2016: 3546 kW</w:t>
      </w:r>
    </w:p>
    <w:p w14:paraId="3ECC68F4" w14:textId="2B47C1D1" w:rsidR="00506317" w:rsidRPr="00506317" w:rsidRDefault="00506317" w:rsidP="00506317">
      <w:pPr>
        <w:spacing w:line="276" w:lineRule="auto"/>
        <w:rPr>
          <w:rFonts w:ascii="Times New Roman" w:hAnsi="Times New Roman" w:cs="Times New Roman"/>
          <w:color w:val="000000"/>
          <w:sz w:val="24"/>
          <w:szCs w:val="24"/>
        </w:rPr>
      </w:pPr>
      <w:r w:rsidRPr="00506317">
        <w:rPr>
          <w:rFonts w:ascii="Times New Roman" w:hAnsi="Times New Roman" w:cs="Times New Roman"/>
          <w:color w:val="000000"/>
          <w:sz w:val="24"/>
          <w:szCs w:val="24"/>
        </w:rPr>
        <w:t>2017: 3531 kW</w:t>
      </w:r>
    </w:p>
    <w:p w14:paraId="42E34177" w14:textId="7C881794" w:rsidR="00506317" w:rsidRPr="00506317" w:rsidRDefault="00506317" w:rsidP="00506317">
      <w:pPr>
        <w:spacing w:line="276" w:lineRule="auto"/>
        <w:rPr>
          <w:rFonts w:ascii="Times New Roman" w:hAnsi="Times New Roman" w:cs="Times New Roman"/>
          <w:color w:val="000000"/>
          <w:sz w:val="24"/>
          <w:szCs w:val="24"/>
        </w:rPr>
      </w:pPr>
      <w:r w:rsidRPr="00506317">
        <w:rPr>
          <w:rFonts w:ascii="Times New Roman" w:hAnsi="Times New Roman" w:cs="Times New Roman"/>
          <w:color w:val="000000"/>
          <w:sz w:val="24"/>
          <w:szCs w:val="24"/>
        </w:rPr>
        <w:t>2018: 3655 kW</w:t>
      </w:r>
    </w:p>
    <w:p w14:paraId="2353507E" w14:textId="61D32F6F" w:rsidR="00506317" w:rsidRPr="00506317" w:rsidRDefault="00506317" w:rsidP="00506317">
      <w:pPr>
        <w:spacing w:line="276" w:lineRule="auto"/>
        <w:rPr>
          <w:rFonts w:ascii="Times New Roman" w:hAnsi="Times New Roman" w:cs="Times New Roman"/>
          <w:color w:val="000000"/>
          <w:sz w:val="24"/>
          <w:szCs w:val="24"/>
        </w:rPr>
      </w:pPr>
      <w:r w:rsidRPr="00506317">
        <w:rPr>
          <w:rFonts w:ascii="Times New Roman" w:hAnsi="Times New Roman" w:cs="Times New Roman"/>
          <w:color w:val="000000"/>
          <w:sz w:val="24"/>
          <w:szCs w:val="24"/>
        </w:rPr>
        <w:t>2019: Not Yet Determined</w:t>
      </w:r>
    </w:p>
    <w:p w14:paraId="1C817C0D" w14:textId="2357857E" w:rsidR="00887D0E" w:rsidRPr="00887D0E" w:rsidRDefault="00887D0E" w:rsidP="00887D0E">
      <w:pPr>
        <w:pStyle w:val="ListParagraph"/>
        <w:widowControl/>
        <w:spacing w:line="276" w:lineRule="auto"/>
        <w:contextualSpacing/>
        <w:rPr>
          <w:rFonts w:ascii="Times New Roman" w:hAnsi="Times New Roman" w:cs="Times New Roman"/>
          <w:color w:val="000000"/>
          <w:sz w:val="24"/>
          <w:szCs w:val="24"/>
        </w:rPr>
      </w:pPr>
    </w:p>
    <w:p w14:paraId="02824E45" w14:textId="77777777" w:rsidR="000C64AD" w:rsidRPr="00FD3D70" w:rsidRDefault="000C64AD" w:rsidP="000C64AD">
      <w:pPr>
        <w:pStyle w:val="ListParagraph"/>
        <w:spacing w:line="276" w:lineRule="auto"/>
        <w:ind w:left="2160"/>
        <w:rPr>
          <w:rFonts w:ascii="Times New Roman" w:hAnsi="Times New Roman" w:cs="Times New Roman"/>
          <w:color w:val="000000"/>
          <w:sz w:val="24"/>
          <w:szCs w:val="24"/>
        </w:rPr>
      </w:pPr>
    </w:p>
    <w:p w14:paraId="5C0152FB" w14:textId="77777777" w:rsidR="000C64AD" w:rsidRPr="00FD3D70" w:rsidRDefault="000C64AD" w:rsidP="000C64AD">
      <w:pPr>
        <w:pStyle w:val="ListParagraph"/>
        <w:widowControl/>
        <w:numPr>
          <w:ilvl w:val="0"/>
          <w:numId w:val="11"/>
        </w:numPr>
        <w:contextualSpacing/>
        <w:rPr>
          <w:rFonts w:ascii="Times New Roman" w:eastAsia="Times New Roman" w:hAnsi="Times New Roman" w:cs="Times New Roman"/>
          <w:b/>
          <w:snapToGrid w:val="0"/>
          <w:sz w:val="24"/>
          <w:szCs w:val="24"/>
          <w:shd w:val="clear" w:color="auto" w:fill="FFFFFF"/>
        </w:rPr>
      </w:pPr>
      <w:r w:rsidRPr="00FD3D70">
        <w:rPr>
          <w:rFonts w:ascii="Times New Roman" w:hAnsi="Times New Roman" w:cs="Times New Roman"/>
          <w:b/>
          <w:snapToGrid w:val="0"/>
          <w:sz w:val="24"/>
          <w:szCs w:val="24"/>
          <w:shd w:val="clear" w:color="auto" w:fill="FFFFFF"/>
        </w:rPr>
        <w:t xml:space="preserve">Circuit 0491:  Regarding year 2018 and 2019 to date. </w:t>
      </w:r>
    </w:p>
    <w:p w14:paraId="39D93D94" w14:textId="2AB8273E" w:rsidR="000C64AD" w:rsidRPr="008A71CE" w:rsidRDefault="000C64AD" w:rsidP="000C64AD">
      <w:pPr>
        <w:pStyle w:val="ListParagraph"/>
        <w:widowControl/>
        <w:numPr>
          <w:ilvl w:val="1"/>
          <w:numId w:val="12"/>
        </w:numPr>
        <w:contextualSpacing/>
        <w:rPr>
          <w:rFonts w:ascii="Times New Roman" w:eastAsia="Times New Roman" w:hAnsi="Times New Roman" w:cs="Times New Roman"/>
          <w:b/>
          <w:bCs/>
          <w:sz w:val="24"/>
          <w:szCs w:val="24"/>
        </w:rPr>
      </w:pPr>
      <w:r w:rsidRPr="00FD3D70">
        <w:rPr>
          <w:rFonts w:ascii="Times New Roman" w:eastAsia="Times New Roman" w:hAnsi="Times New Roman" w:cs="Times New Roman"/>
          <w:b/>
          <w:bCs/>
          <w:snapToGrid w:val="0"/>
          <w:sz w:val="24"/>
          <w:szCs w:val="24"/>
          <w:shd w:val="clear" w:color="auto" w:fill="FFFFFF"/>
        </w:rPr>
        <w:t>How many customers are on this circuit?</w:t>
      </w:r>
    </w:p>
    <w:p w14:paraId="5FD60373" w14:textId="77777777" w:rsidR="006B1F33" w:rsidRDefault="006B1F33" w:rsidP="008A71CE">
      <w:pPr>
        <w:pStyle w:val="ListParagraph"/>
        <w:widowControl/>
        <w:spacing w:line="276" w:lineRule="auto"/>
        <w:contextualSpacing/>
        <w:rPr>
          <w:rFonts w:ascii="Times New Roman" w:hAnsi="Times New Roman" w:cs="Times New Roman"/>
          <w:b/>
          <w:bCs/>
          <w:sz w:val="24"/>
          <w:szCs w:val="24"/>
          <w:highlight w:val="yellow"/>
          <w:shd w:val="clear" w:color="auto" w:fill="FFFFFF"/>
        </w:rPr>
      </w:pPr>
    </w:p>
    <w:p w14:paraId="44B4FE6B" w14:textId="48A59764" w:rsidR="008A71CE" w:rsidRDefault="008A71CE" w:rsidP="008A71CE">
      <w:pPr>
        <w:pStyle w:val="ListParagraph"/>
        <w:widowControl/>
        <w:spacing w:line="276" w:lineRule="auto"/>
        <w:contextualSpacing/>
        <w:rPr>
          <w:rFonts w:ascii="Times New Roman" w:hAnsi="Times New Roman" w:cs="Times New Roman"/>
          <w:bCs/>
          <w:sz w:val="24"/>
          <w:szCs w:val="24"/>
          <w:shd w:val="clear" w:color="auto" w:fill="FFFFFF"/>
        </w:rPr>
      </w:pPr>
      <w:r w:rsidRPr="000C0424">
        <w:rPr>
          <w:rFonts w:ascii="Times New Roman" w:hAnsi="Times New Roman" w:cs="Times New Roman"/>
          <w:b/>
          <w:bCs/>
          <w:sz w:val="24"/>
          <w:szCs w:val="24"/>
          <w:shd w:val="clear" w:color="auto" w:fill="FFFFFF"/>
        </w:rPr>
        <w:t>SDG&amp;E Response:</w:t>
      </w:r>
      <w:r w:rsidR="006B1F33">
        <w:rPr>
          <w:rFonts w:ascii="Times New Roman" w:hAnsi="Times New Roman" w:cs="Times New Roman"/>
          <w:b/>
          <w:bCs/>
          <w:sz w:val="24"/>
          <w:szCs w:val="24"/>
          <w:shd w:val="clear" w:color="auto" w:fill="FFFFFF"/>
        </w:rPr>
        <w:t xml:space="preserve"> </w:t>
      </w:r>
      <w:r w:rsidR="00980B03">
        <w:rPr>
          <w:rFonts w:ascii="Times New Roman" w:hAnsi="Times New Roman" w:cs="Times New Roman"/>
          <w:bCs/>
          <w:sz w:val="24"/>
          <w:szCs w:val="24"/>
          <w:shd w:val="clear" w:color="auto" w:fill="FFFFFF"/>
        </w:rPr>
        <w:t>See the attached Excel titled: SDAP DR02</w:t>
      </w:r>
      <w:r w:rsidR="00E21E4F">
        <w:rPr>
          <w:rFonts w:ascii="Times New Roman" w:hAnsi="Times New Roman" w:cs="Times New Roman"/>
          <w:bCs/>
          <w:sz w:val="24"/>
          <w:szCs w:val="24"/>
          <w:shd w:val="clear" w:color="auto" w:fill="FFFFFF"/>
        </w:rPr>
        <w:t xml:space="preserve"> </w:t>
      </w:r>
      <w:r w:rsidR="00BD6B09">
        <w:rPr>
          <w:rFonts w:ascii="Times New Roman" w:hAnsi="Times New Roman" w:cs="Times New Roman"/>
          <w:bCs/>
          <w:sz w:val="24"/>
          <w:szCs w:val="24"/>
          <w:shd w:val="clear" w:color="auto" w:fill="FFFFFF"/>
        </w:rPr>
        <w:t>Q</w:t>
      </w:r>
      <w:r w:rsidR="00833571">
        <w:rPr>
          <w:rFonts w:ascii="Times New Roman" w:hAnsi="Times New Roman" w:cs="Times New Roman"/>
          <w:bCs/>
          <w:sz w:val="24"/>
          <w:szCs w:val="24"/>
          <w:shd w:val="clear" w:color="auto" w:fill="FFFFFF"/>
        </w:rPr>
        <w:t>20</w:t>
      </w:r>
      <w:r w:rsidR="00E21E4F">
        <w:rPr>
          <w:rFonts w:ascii="Times New Roman" w:hAnsi="Times New Roman" w:cs="Times New Roman"/>
          <w:bCs/>
          <w:sz w:val="24"/>
          <w:szCs w:val="24"/>
          <w:shd w:val="clear" w:color="auto" w:fill="FFFFFF"/>
        </w:rPr>
        <w:t xml:space="preserve"> – Circuit0491 Events.xlsx</w:t>
      </w:r>
      <w:r w:rsidR="000C0424">
        <w:rPr>
          <w:rFonts w:ascii="Times New Roman" w:hAnsi="Times New Roman" w:cs="Times New Roman"/>
          <w:bCs/>
          <w:sz w:val="24"/>
          <w:szCs w:val="24"/>
          <w:shd w:val="clear" w:color="auto" w:fill="FFFFFF"/>
        </w:rPr>
        <w:t>.</w:t>
      </w:r>
    </w:p>
    <w:p w14:paraId="5DAB5E57" w14:textId="77777777" w:rsidR="00CF18B2" w:rsidRPr="00980B03" w:rsidRDefault="00CF18B2" w:rsidP="008A71CE">
      <w:pPr>
        <w:pStyle w:val="ListParagraph"/>
        <w:widowControl/>
        <w:spacing w:line="276" w:lineRule="auto"/>
        <w:contextualSpacing/>
        <w:rPr>
          <w:rFonts w:ascii="Times New Roman" w:hAnsi="Times New Roman" w:cs="Times New Roman"/>
          <w:color w:val="000000"/>
          <w:sz w:val="24"/>
          <w:szCs w:val="24"/>
        </w:rPr>
      </w:pPr>
    </w:p>
    <w:p w14:paraId="75C64B2A" w14:textId="77777777" w:rsidR="008A71CE" w:rsidRPr="008A71CE" w:rsidRDefault="008A71CE" w:rsidP="008A71CE">
      <w:pPr>
        <w:widowControl/>
        <w:contextualSpacing/>
        <w:rPr>
          <w:rFonts w:ascii="Times New Roman" w:eastAsia="Times New Roman" w:hAnsi="Times New Roman" w:cs="Times New Roman"/>
          <w:b/>
          <w:bCs/>
          <w:sz w:val="24"/>
          <w:szCs w:val="24"/>
        </w:rPr>
      </w:pPr>
    </w:p>
    <w:p w14:paraId="5E1C31CD" w14:textId="77777777" w:rsidR="000C64AD" w:rsidRPr="00FD3D70" w:rsidRDefault="000C64AD" w:rsidP="000C64AD">
      <w:pPr>
        <w:pStyle w:val="ListParagraph"/>
        <w:widowControl/>
        <w:numPr>
          <w:ilvl w:val="1"/>
          <w:numId w:val="12"/>
        </w:numPr>
        <w:contextualSpacing/>
        <w:rPr>
          <w:rFonts w:ascii="Times New Roman" w:eastAsia="Times New Roman" w:hAnsi="Times New Roman" w:cs="Times New Roman"/>
          <w:b/>
          <w:bCs/>
          <w:sz w:val="24"/>
          <w:szCs w:val="24"/>
        </w:rPr>
      </w:pPr>
      <w:r w:rsidRPr="00FD3D70">
        <w:rPr>
          <w:rFonts w:ascii="Times New Roman" w:eastAsia="Times New Roman" w:hAnsi="Times New Roman" w:cs="Times New Roman"/>
          <w:b/>
          <w:bCs/>
          <w:snapToGrid w:val="0"/>
          <w:sz w:val="24"/>
          <w:szCs w:val="24"/>
          <w:shd w:val="clear" w:color="auto" w:fill="FFFFFF"/>
        </w:rPr>
        <w:t>How many classes of customers are on this circuit?</w:t>
      </w:r>
    </w:p>
    <w:p w14:paraId="7AAF79E8" w14:textId="77777777" w:rsidR="000C64AD" w:rsidRPr="00FD3D70" w:rsidRDefault="000C64AD" w:rsidP="000C64AD">
      <w:pPr>
        <w:pStyle w:val="ListParagraph"/>
        <w:widowControl/>
        <w:numPr>
          <w:ilvl w:val="2"/>
          <w:numId w:val="12"/>
        </w:numPr>
        <w:contextualSpacing/>
        <w:rPr>
          <w:rFonts w:ascii="Times New Roman" w:eastAsia="Times New Roman" w:hAnsi="Times New Roman" w:cs="Times New Roman"/>
          <w:b/>
          <w:bCs/>
          <w:snapToGrid w:val="0"/>
          <w:sz w:val="24"/>
          <w:szCs w:val="24"/>
          <w:shd w:val="clear" w:color="auto" w:fill="FFFFFF"/>
        </w:rPr>
      </w:pPr>
      <w:r w:rsidRPr="00FD3D70">
        <w:rPr>
          <w:rFonts w:ascii="Times New Roman" w:eastAsia="Times New Roman" w:hAnsi="Times New Roman" w:cs="Times New Roman"/>
          <w:b/>
          <w:bCs/>
          <w:snapToGrid w:val="0"/>
          <w:sz w:val="24"/>
          <w:szCs w:val="24"/>
          <w:shd w:val="clear" w:color="auto" w:fill="FFFFFF"/>
        </w:rPr>
        <w:t>How many are residential</w:t>
      </w:r>
    </w:p>
    <w:p w14:paraId="38E4C3D3" w14:textId="77777777" w:rsidR="000C64AD" w:rsidRPr="00FD3D70" w:rsidRDefault="000C64AD" w:rsidP="000C64AD">
      <w:pPr>
        <w:pStyle w:val="ListParagraph"/>
        <w:widowControl/>
        <w:numPr>
          <w:ilvl w:val="3"/>
          <w:numId w:val="12"/>
        </w:numPr>
        <w:contextualSpacing/>
        <w:rPr>
          <w:rFonts w:ascii="Times New Roman" w:eastAsia="Times New Roman" w:hAnsi="Times New Roman" w:cs="Times New Roman"/>
          <w:b/>
          <w:bCs/>
          <w:sz w:val="24"/>
          <w:szCs w:val="24"/>
        </w:rPr>
      </w:pPr>
      <w:r w:rsidRPr="00FD3D70">
        <w:rPr>
          <w:rFonts w:ascii="Times New Roman" w:eastAsia="Times New Roman" w:hAnsi="Times New Roman" w:cs="Times New Roman"/>
          <w:b/>
          <w:bCs/>
          <w:snapToGrid w:val="0"/>
          <w:sz w:val="24"/>
          <w:szCs w:val="24"/>
          <w:shd w:val="clear" w:color="auto" w:fill="FFFFFF"/>
        </w:rPr>
        <w:t>What is the Top 10% kW loads?</w:t>
      </w:r>
    </w:p>
    <w:p w14:paraId="3B3949F3" w14:textId="77777777" w:rsidR="000C64AD" w:rsidRPr="00FD3D70" w:rsidRDefault="000C64AD" w:rsidP="000C64AD">
      <w:pPr>
        <w:pStyle w:val="ListParagraph"/>
        <w:widowControl/>
        <w:numPr>
          <w:ilvl w:val="2"/>
          <w:numId w:val="12"/>
        </w:numPr>
        <w:contextualSpacing/>
        <w:rPr>
          <w:rFonts w:ascii="Times New Roman" w:eastAsia="Times New Roman" w:hAnsi="Times New Roman" w:cs="Times New Roman"/>
          <w:b/>
          <w:bCs/>
          <w:snapToGrid w:val="0"/>
          <w:sz w:val="24"/>
          <w:szCs w:val="24"/>
          <w:shd w:val="clear" w:color="auto" w:fill="FFFFFF"/>
        </w:rPr>
      </w:pPr>
      <w:r w:rsidRPr="00FD3D70">
        <w:rPr>
          <w:rFonts w:ascii="Times New Roman" w:eastAsia="Times New Roman" w:hAnsi="Times New Roman" w:cs="Times New Roman"/>
          <w:b/>
          <w:bCs/>
          <w:snapToGrid w:val="0"/>
          <w:sz w:val="24"/>
          <w:szCs w:val="24"/>
          <w:shd w:val="clear" w:color="auto" w:fill="FFFFFF"/>
        </w:rPr>
        <w:lastRenderedPageBreak/>
        <w:t xml:space="preserve">How many are Small Commercial </w:t>
      </w:r>
    </w:p>
    <w:p w14:paraId="1FD6B005" w14:textId="77777777" w:rsidR="000C64AD" w:rsidRPr="00FD3D70" w:rsidRDefault="000C64AD" w:rsidP="000C64AD">
      <w:pPr>
        <w:pStyle w:val="ListParagraph"/>
        <w:widowControl/>
        <w:numPr>
          <w:ilvl w:val="3"/>
          <w:numId w:val="12"/>
        </w:numPr>
        <w:contextualSpacing/>
        <w:rPr>
          <w:rFonts w:ascii="Times New Roman" w:eastAsia="Times New Roman" w:hAnsi="Times New Roman" w:cs="Times New Roman"/>
          <w:b/>
          <w:bCs/>
          <w:sz w:val="24"/>
          <w:szCs w:val="24"/>
        </w:rPr>
      </w:pPr>
      <w:r w:rsidRPr="00FD3D70">
        <w:rPr>
          <w:rFonts w:ascii="Times New Roman" w:eastAsia="Times New Roman" w:hAnsi="Times New Roman" w:cs="Times New Roman"/>
          <w:b/>
          <w:bCs/>
          <w:snapToGrid w:val="0"/>
          <w:sz w:val="24"/>
          <w:szCs w:val="24"/>
          <w:shd w:val="clear" w:color="auto" w:fill="FFFFFF"/>
        </w:rPr>
        <w:t>What is the Top 10% kW loads?</w:t>
      </w:r>
    </w:p>
    <w:p w14:paraId="0A2B60E6" w14:textId="77777777" w:rsidR="000C64AD" w:rsidRPr="00FD3D70" w:rsidRDefault="000C64AD" w:rsidP="000C64AD">
      <w:pPr>
        <w:pStyle w:val="ListParagraph"/>
        <w:widowControl/>
        <w:numPr>
          <w:ilvl w:val="2"/>
          <w:numId w:val="12"/>
        </w:numPr>
        <w:contextualSpacing/>
        <w:rPr>
          <w:rFonts w:ascii="Times New Roman" w:eastAsia="Times New Roman" w:hAnsi="Times New Roman" w:cs="Times New Roman"/>
          <w:b/>
          <w:bCs/>
          <w:snapToGrid w:val="0"/>
          <w:sz w:val="24"/>
          <w:szCs w:val="24"/>
          <w:shd w:val="clear" w:color="auto" w:fill="FFFFFF"/>
        </w:rPr>
      </w:pPr>
      <w:r w:rsidRPr="00FD3D70">
        <w:rPr>
          <w:rFonts w:ascii="Times New Roman" w:eastAsia="Times New Roman" w:hAnsi="Times New Roman" w:cs="Times New Roman"/>
          <w:b/>
          <w:bCs/>
          <w:snapToGrid w:val="0"/>
          <w:sz w:val="24"/>
          <w:szCs w:val="24"/>
          <w:shd w:val="clear" w:color="auto" w:fill="FFFFFF"/>
        </w:rPr>
        <w:t>How many are Large Commercial</w:t>
      </w:r>
    </w:p>
    <w:p w14:paraId="3D310A0F" w14:textId="77777777" w:rsidR="000C64AD" w:rsidRPr="00FD3D70" w:rsidRDefault="000C64AD" w:rsidP="000C64AD">
      <w:pPr>
        <w:pStyle w:val="ListParagraph"/>
        <w:widowControl/>
        <w:numPr>
          <w:ilvl w:val="3"/>
          <w:numId w:val="12"/>
        </w:numPr>
        <w:contextualSpacing/>
        <w:rPr>
          <w:rFonts w:ascii="Times New Roman" w:eastAsia="Times New Roman" w:hAnsi="Times New Roman" w:cs="Times New Roman"/>
          <w:b/>
          <w:bCs/>
          <w:sz w:val="24"/>
          <w:szCs w:val="24"/>
        </w:rPr>
      </w:pPr>
      <w:r w:rsidRPr="00FD3D70">
        <w:rPr>
          <w:rFonts w:ascii="Times New Roman" w:eastAsia="Times New Roman" w:hAnsi="Times New Roman" w:cs="Times New Roman"/>
          <w:b/>
          <w:bCs/>
          <w:snapToGrid w:val="0"/>
          <w:sz w:val="24"/>
          <w:szCs w:val="24"/>
          <w:shd w:val="clear" w:color="auto" w:fill="FFFFFF"/>
        </w:rPr>
        <w:t>What is the Top 10% kW loads?</w:t>
      </w:r>
    </w:p>
    <w:p w14:paraId="1D5BA543" w14:textId="77777777" w:rsidR="000C64AD" w:rsidRPr="00FD3D70" w:rsidRDefault="000C64AD" w:rsidP="000C64AD">
      <w:pPr>
        <w:pStyle w:val="ListParagraph"/>
        <w:widowControl/>
        <w:numPr>
          <w:ilvl w:val="2"/>
          <w:numId w:val="12"/>
        </w:numPr>
        <w:contextualSpacing/>
        <w:rPr>
          <w:rFonts w:ascii="Times New Roman" w:eastAsia="Times New Roman" w:hAnsi="Times New Roman" w:cs="Times New Roman"/>
          <w:b/>
          <w:bCs/>
          <w:snapToGrid w:val="0"/>
          <w:sz w:val="24"/>
          <w:szCs w:val="24"/>
          <w:shd w:val="clear" w:color="auto" w:fill="FFFFFF"/>
        </w:rPr>
      </w:pPr>
      <w:r w:rsidRPr="00FD3D70">
        <w:rPr>
          <w:rFonts w:ascii="Times New Roman" w:eastAsia="Times New Roman" w:hAnsi="Times New Roman" w:cs="Times New Roman"/>
          <w:b/>
          <w:bCs/>
          <w:snapToGrid w:val="0"/>
          <w:sz w:val="24"/>
          <w:szCs w:val="24"/>
          <w:shd w:val="clear" w:color="auto" w:fill="FFFFFF"/>
        </w:rPr>
        <w:t>If others, please provide each Class</w:t>
      </w:r>
    </w:p>
    <w:p w14:paraId="33F671B5" w14:textId="77777777" w:rsidR="008A71CE" w:rsidRDefault="000C64AD" w:rsidP="008A71CE">
      <w:pPr>
        <w:pStyle w:val="ListParagraph"/>
        <w:widowControl/>
        <w:numPr>
          <w:ilvl w:val="3"/>
          <w:numId w:val="12"/>
        </w:numPr>
        <w:contextualSpacing/>
        <w:rPr>
          <w:rFonts w:ascii="Times New Roman" w:eastAsia="Times New Roman" w:hAnsi="Times New Roman" w:cs="Times New Roman"/>
          <w:b/>
          <w:bCs/>
          <w:sz w:val="24"/>
          <w:szCs w:val="24"/>
        </w:rPr>
      </w:pPr>
      <w:r w:rsidRPr="00FD3D70">
        <w:rPr>
          <w:rFonts w:ascii="Times New Roman" w:eastAsia="Times New Roman" w:hAnsi="Times New Roman" w:cs="Times New Roman"/>
          <w:b/>
          <w:bCs/>
          <w:snapToGrid w:val="0"/>
          <w:sz w:val="24"/>
          <w:szCs w:val="24"/>
          <w:shd w:val="clear" w:color="auto" w:fill="FFFFFF"/>
        </w:rPr>
        <w:t>What is the Top 10% kW loads?</w:t>
      </w:r>
    </w:p>
    <w:p w14:paraId="56F1FC7D" w14:textId="13543F1E" w:rsidR="008A71CE" w:rsidRPr="008A71CE" w:rsidRDefault="008A71CE" w:rsidP="008A71CE">
      <w:pPr>
        <w:pStyle w:val="ListParagraph"/>
        <w:widowControl/>
        <w:contextualSpacing/>
        <w:rPr>
          <w:rStyle w:val="Strong"/>
          <w:rFonts w:ascii="Times New Roman" w:eastAsia="Times New Roman" w:hAnsi="Times New Roman" w:cs="Times New Roman"/>
          <w:sz w:val="24"/>
          <w:szCs w:val="24"/>
        </w:rPr>
      </w:pPr>
      <w:r w:rsidRPr="00502AF1">
        <w:rPr>
          <w:rFonts w:ascii="Times New Roman" w:hAnsi="Times New Roman" w:cs="Times New Roman"/>
          <w:b/>
          <w:bCs/>
          <w:sz w:val="24"/>
          <w:szCs w:val="24"/>
          <w:shd w:val="clear" w:color="auto" w:fill="FFFFFF"/>
        </w:rPr>
        <w:t>SDG&amp;E Response:</w:t>
      </w:r>
    </w:p>
    <w:p w14:paraId="51E7B6B9" w14:textId="6CB1887D" w:rsidR="008566F9" w:rsidRPr="00502AF1" w:rsidRDefault="008566F9" w:rsidP="008566F9">
      <w:pPr>
        <w:rPr>
          <w:rFonts w:ascii="Times New Roman" w:eastAsia="Times New Roman" w:hAnsi="Times New Roman" w:cs="Times New Roman"/>
          <w:snapToGrid w:val="0"/>
          <w:sz w:val="24"/>
          <w:szCs w:val="20"/>
        </w:rPr>
      </w:pPr>
      <w:r w:rsidRPr="00502AF1">
        <w:rPr>
          <w:rFonts w:ascii="Times New Roman" w:eastAsia="Times New Roman" w:hAnsi="Times New Roman" w:cs="Times New Roman"/>
          <w:snapToGrid w:val="0"/>
          <w:sz w:val="24"/>
          <w:szCs w:val="20"/>
        </w:rPr>
        <w:t>SDG&amp;E objects to this data request</w:t>
      </w:r>
      <w:r>
        <w:rPr>
          <w:rFonts w:ascii="Times New Roman" w:eastAsia="Times New Roman" w:hAnsi="Times New Roman" w:cs="Times New Roman"/>
          <w:snapToGrid w:val="0"/>
          <w:sz w:val="24"/>
          <w:szCs w:val="20"/>
        </w:rPr>
        <w:t xml:space="preserve"> a</w:t>
      </w:r>
      <w:r w:rsidRPr="00502AF1">
        <w:rPr>
          <w:rFonts w:ascii="Times New Roman" w:eastAsia="Times New Roman" w:hAnsi="Times New Roman" w:cs="Times New Roman"/>
          <w:snapToGrid w:val="0"/>
          <w:sz w:val="24"/>
          <w:szCs w:val="20"/>
        </w:rPr>
        <w:t xml:space="preserve">nd </w:t>
      </w:r>
      <w:r>
        <w:rPr>
          <w:rFonts w:ascii="Times New Roman" w:eastAsia="Times New Roman" w:hAnsi="Times New Roman" w:cs="Times New Roman"/>
          <w:snapToGrid w:val="0"/>
          <w:sz w:val="24"/>
          <w:szCs w:val="20"/>
        </w:rPr>
        <w:t xml:space="preserve">outside </w:t>
      </w:r>
      <w:r w:rsidRPr="00502AF1">
        <w:rPr>
          <w:rFonts w:ascii="Times New Roman" w:eastAsia="Times New Roman" w:hAnsi="Times New Roman" w:cs="Times New Roman"/>
          <w:snapToGrid w:val="0"/>
          <w:sz w:val="24"/>
          <w:szCs w:val="20"/>
        </w:rPr>
        <w:t>the scope of this proceeding.  Subject to and without waiving these objections, SDG&amp;E responds as follows:</w:t>
      </w:r>
    </w:p>
    <w:p w14:paraId="6B631D8D" w14:textId="77777777" w:rsidR="00D57741" w:rsidRPr="00502AF1" w:rsidRDefault="00D57741" w:rsidP="00D57741">
      <w:pPr>
        <w:rPr>
          <w:rFonts w:ascii="Times New Roman" w:eastAsia="Times New Roman" w:hAnsi="Times New Roman" w:cs="Times New Roman"/>
          <w:snapToGrid w:val="0"/>
          <w:sz w:val="24"/>
          <w:szCs w:val="20"/>
        </w:rPr>
      </w:pPr>
    </w:p>
    <w:p w14:paraId="5471A52E" w14:textId="1DA96C4A" w:rsidR="00D57741" w:rsidRPr="00502AF1" w:rsidRDefault="00D57741" w:rsidP="00D57741">
      <w:pPr>
        <w:rPr>
          <w:rFonts w:ascii="Times New Roman" w:eastAsia="Times New Roman" w:hAnsi="Times New Roman" w:cs="Times New Roman"/>
          <w:snapToGrid w:val="0"/>
          <w:sz w:val="24"/>
          <w:szCs w:val="20"/>
        </w:rPr>
      </w:pPr>
      <w:r w:rsidRPr="00502AF1">
        <w:rPr>
          <w:rFonts w:ascii="Times New Roman" w:eastAsia="Times New Roman" w:hAnsi="Times New Roman" w:cs="Times New Roman"/>
          <w:snapToGrid w:val="0"/>
          <w:sz w:val="24"/>
          <w:szCs w:val="20"/>
        </w:rPr>
        <w:t xml:space="preserve">(1) </w:t>
      </w:r>
      <w:r w:rsidR="00936D72">
        <w:rPr>
          <w:rFonts w:ascii="Times New Roman" w:eastAsia="Times New Roman" w:hAnsi="Times New Roman" w:cs="Times New Roman"/>
          <w:snapToGrid w:val="0"/>
          <w:sz w:val="24"/>
          <w:szCs w:val="20"/>
        </w:rPr>
        <w:t>As of year-end</w:t>
      </w:r>
      <w:r w:rsidRPr="00502AF1">
        <w:rPr>
          <w:rFonts w:ascii="Times New Roman" w:eastAsia="Times New Roman" w:hAnsi="Times New Roman" w:cs="Times New Roman"/>
          <w:snapToGrid w:val="0"/>
          <w:sz w:val="24"/>
          <w:szCs w:val="20"/>
        </w:rPr>
        <w:t xml:space="preserve"> 2018, 15</w:t>
      </w:r>
      <w:r w:rsidR="00C55587">
        <w:rPr>
          <w:rFonts w:ascii="Times New Roman" w:eastAsia="Times New Roman" w:hAnsi="Times New Roman" w:cs="Times New Roman"/>
          <w:snapToGrid w:val="0"/>
          <w:sz w:val="24"/>
          <w:szCs w:val="20"/>
        </w:rPr>
        <w:t>7</w:t>
      </w:r>
      <w:r w:rsidRPr="00502AF1">
        <w:rPr>
          <w:rFonts w:ascii="Times New Roman" w:eastAsia="Times New Roman" w:hAnsi="Times New Roman" w:cs="Times New Roman"/>
          <w:snapToGrid w:val="0"/>
          <w:sz w:val="24"/>
          <w:szCs w:val="20"/>
        </w:rPr>
        <w:t xml:space="preserve"> customers were on Circuit 0491.</w:t>
      </w:r>
    </w:p>
    <w:p w14:paraId="26DAB266" w14:textId="77777777" w:rsidR="00D57741" w:rsidRPr="00502AF1" w:rsidRDefault="00D57741" w:rsidP="00D57741">
      <w:pPr>
        <w:rPr>
          <w:rFonts w:ascii="Times New Roman" w:eastAsia="Times New Roman" w:hAnsi="Times New Roman" w:cs="Times New Roman"/>
          <w:snapToGrid w:val="0"/>
          <w:sz w:val="24"/>
          <w:szCs w:val="20"/>
        </w:rPr>
      </w:pPr>
    </w:p>
    <w:p w14:paraId="2EFAC0FB" w14:textId="066E7EF0" w:rsidR="00D57741" w:rsidRPr="00502AF1" w:rsidRDefault="00D57741" w:rsidP="00D57741">
      <w:pPr>
        <w:rPr>
          <w:rFonts w:ascii="Times New Roman" w:eastAsia="Times New Roman" w:hAnsi="Times New Roman" w:cs="Times New Roman"/>
          <w:snapToGrid w:val="0"/>
          <w:sz w:val="24"/>
          <w:szCs w:val="20"/>
        </w:rPr>
      </w:pPr>
      <w:r w:rsidRPr="00502AF1">
        <w:rPr>
          <w:rFonts w:ascii="Times New Roman" w:eastAsia="Times New Roman" w:hAnsi="Times New Roman" w:cs="Times New Roman"/>
          <w:snapToGrid w:val="0"/>
          <w:sz w:val="24"/>
          <w:szCs w:val="20"/>
        </w:rPr>
        <w:t>(2) In 2018, four classes of customers were on Circuit 0491.</w:t>
      </w:r>
    </w:p>
    <w:p w14:paraId="64CA336D" w14:textId="77777777" w:rsidR="00D57741" w:rsidRPr="00502AF1" w:rsidRDefault="00D57741" w:rsidP="00D57741">
      <w:pPr>
        <w:rPr>
          <w:rFonts w:ascii="Times New Roman" w:eastAsia="Times New Roman" w:hAnsi="Times New Roman" w:cs="Times New Roman"/>
          <w:snapToGrid w:val="0"/>
          <w:sz w:val="24"/>
          <w:szCs w:val="20"/>
        </w:rPr>
      </w:pPr>
    </w:p>
    <w:p w14:paraId="3C23B90F" w14:textId="50B2634B" w:rsidR="00D57741" w:rsidRPr="00502AF1" w:rsidRDefault="00D57741" w:rsidP="00D57741">
      <w:pPr>
        <w:rPr>
          <w:rFonts w:ascii="Times New Roman" w:eastAsia="Times New Roman" w:hAnsi="Times New Roman" w:cs="Times New Roman"/>
          <w:sz w:val="24"/>
          <w:szCs w:val="24"/>
        </w:rPr>
      </w:pPr>
      <w:r w:rsidRPr="00502AF1">
        <w:rPr>
          <w:rFonts w:ascii="Times New Roman" w:eastAsia="Times New Roman" w:hAnsi="Times New Roman" w:cs="Times New Roman"/>
          <w:snapToGrid w:val="0"/>
          <w:sz w:val="24"/>
          <w:szCs w:val="24"/>
        </w:rPr>
        <w:t>(3) The event hours for Circuit and System events for 2018 are provided in attached workpaper</w:t>
      </w:r>
      <w:r w:rsidR="004B3FB3" w:rsidRPr="00502AF1">
        <w:rPr>
          <w:rFonts w:ascii="Times New Roman" w:eastAsia="Times New Roman" w:hAnsi="Times New Roman" w:cs="Times New Roman"/>
          <w:snapToGrid w:val="0"/>
          <w:sz w:val="24"/>
          <w:szCs w:val="20"/>
        </w:rPr>
        <w:t xml:space="preserve"> </w:t>
      </w:r>
      <w:r w:rsidR="004B3FB3">
        <w:rPr>
          <w:rFonts w:ascii="Times New Roman" w:eastAsia="Times New Roman" w:hAnsi="Times New Roman" w:cs="Times New Roman"/>
          <w:snapToGrid w:val="0"/>
          <w:sz w:val="24"/>
          <w:szCs w:val="24"/>
        </w:rPr>
        <w:t xml:space="preserve">named </w:t>
      </w:r>
      <w:r w:rsidR="00CC02FD" w:rsidRPr="00B85D13">
        <w:rPr>
          <w:rFonts w:ascii="Times New Roman" w:eastAsia="Times New Roman" w:hAnsi="Times New Roman" w:cs="Times New Roman"/>
          <w:snapToGrid w:val="0"/>
          <w:sz w:val="24"/>
          <w:szCs w:val="24"/>
        </w:rPr>
        <w:t>SDAP DR 02 – Q20</w:t>
      </w:r>
      <w:r w:rsidR="00A5147F" w:rsidRPr="00B85D13">
        <w:rPr>
          <w:rFonts w:ascii="Times New Roman" w:eastAsia="Times New Roman" w:hAnsi="Times New Roman" w:cs="Times New Roman"/>
          <w:snapToGrid w:val="0"/>
          <w:sz w:val="24"/>
          <w:szCs w:val="24"/>
        </w:rPr>
        <w:t xml:space="preserve">.xlsx. </w:t>
      </w:r>
      <w:r w:rsidR="313B2EFA" w:rsidRPr="00B85D13">
        <w:rPr>
          <w:rFonts w:ascii="Times New Roman" w:eastAsia="Times New Roman" w:hAnsi="Times New Roman" w:cs="Times New Roman"/>
          <w:snapToGrid w:val="0"/>
          <w:sz w:val="24"/>
          <w:szCs w:val="24"/>
        </w:rPr>
        <w:t>SDG</w:t>
      </w:r>
      <w:r w:rsidR="313B2EFA" w:rsidRPr="00502AF1">
        <w:rPr>
          <w:rFonts w:ascii="Times New Roman" w:eastAsia="Times New Roman" w:hAnsi="Times New Roman" w:cs="Times New Roman"/>
          <w:snapToGrid w:val="0"/>
          <w:sz w:val="24"/>
          <w:szCs w:val="24"/>
        </w:rPr>
        <w:t>&amp;E’s 2019 data is not available at this time.</w:t>
      </w:r>
    </w:p>
    <w:p w14:paraId="6605CCA1" w14:textId="07882970" w:rsidR="00D57741" w:rsidRDefault="00D57741" w:rsidP="000C64AD">
      <w:pPr>
        <w:rPr>
          <w:rStyle w:val="Strong"/>
          <w:rFonts w:ascii="Times New Roman" w:hAnsi="Times New Roman" w:cs="Times New Roman"/>
          <w:sz w:val="24"/>
          <w:szCs w:val="24"/>
        </w:rPr>
      </w:pPr>
    </w:p>
    <w:p w14:paraId="0DAA6536" w14:textId="77777777" w:rsidR="00D57741" w:rsidRPr="00FD3D70" w:rsidRDefault="00D57741" w:rsidP="000C64AD">
      <w:pPr>
        <w:rPr>
          <w:rStyle w:val="Strong"/>
          <w:rFonts w:ascii="Times New Roman" w:hAnsi="Times New Roman" w:cs="Times New Roman"/>
          <w:sz w:val="24"/>
          <w:szCs w:val="24"/>
        </w:rPr>
      </w:pPr>
    </w:p>
    <w:p w14:paraId="1FA3986F" w14:textId="29AE09CE" w:rsidR="000C64AD" w:rsidRPr="00FD3D70" w:rsidRDefault="000C64AD" w:rsidP="000C64AD">
      <w:pPr>
        <w:pStyle w:val="ListParagraph"/>
        <w:widowControl/>
        <w:numPr>
          <w:ilvl w:val="0"/>
          <w:numId w:val="11"/>
        </w:numPr>
        <w:contextualSpacing/>
        <w:rPr>
          <w:rFonts w:ascii="Times New Roman" w:eastAsia="Times New Roman" w:hAnsi="Times New Roman" w:cs="Times New Roman"/>
          <w:b/>
          <w:snapToGrid w:val="0"/>
          <w:sz w:val="24"/>
          <w:szCs w:val="24"/>
          <w:shd w:val="clear" w:color="auto" w:fill="FFFFFF"/>
        </w:rPr>
      </w:pPr>
      <w:bookmarkStart w:id="2" w:name="OLE_LINK1"/>
      <w:r w:rsidRPr="00FD3D70">
        <w:rPr>
          <w:rFonts w:ascii="Times New Roman" w:hAnsi="Times New Roman" w:cs="Times New Roman"/>
          <w:b/>
          <w:snapToGrid w:val="0"/>
          <w:color w:val="000000"/>
          <w:sz w:val="24"/>
          <w:szCs w:val="24"/>
          <w:shd w:val="clear" w:color="auto" w:fill="FFFFFF"/>
        </w:rPr>
        <w:t xml:space="preserve">In the GRC 2016, the Time of Use Hours changed, please describe the Total Annual Hours due to this change.  Please indicate the Total Annual number of hours before this change and then the current Total Annual number of hours for each window.  </w:t>
      </w:r>
      <w:bookmarkEnd w:id="2"/>
      <w:r w:rsidRPr="00FD3D70">
        <w:rPr>
          <w:rFonts w:ascii="Times New Roman" w:hAnsi="Times New Roman" w:cs="Times New Roman"/>
          <w:b/>
          <w:snapToGrid w:val="0"/>
          <w:color w:val="000000"/>
          <w:sz w:val="24"/>
          <w:szCs w:val="24"/>
          <w:shd w:val="clear" w:color="auto" w:fill="FFFFFF"/>
        </w:rPr>
        <w:t xml:space="preserve">   I am specially looking for the Total Annual Hours for each window below before and after the TOU change.  </w:t>
      </w:r>
    </w:p>
    <w:p w14:paraId="621BA5A0" w14:textId="77777777" w:rsidR="000C64AD" w:rsidRPr="00FD3D70" w:rsidRDefault="000C64AD" w:rsidP="000C64AD">
      <w:pPr>
        <w:pStyle w:val="ListParagraph"/>
        <w:widowControl/>
        <w:numPr>
          <w:ilvl w:val="1"/>
          <w:numId w:val="12"/>
        </w:numPr>
        <w:contextualSpacing/>
        <w:rPr>
          <w:rFonts w:ascii="Times New Roman" w:eastAsia="Times New Roman" w:hAnsi="Times New Roman" w:cs="Times New Roman"/>
          <w:b/>
          <w:bCs/>
          <w:snapToGrid w:val="0"/>
          <w:color w:val="000000"/>
          <w:sz w:val="24"/>
          <w:szCs w:val="24"/>
          <w:shd w:val="clear" w:color="auto" w:fill="FFFFFF"/>
        </w:rPr>
      </w:pPr>
      <w:r w:rsidRPr="00FD3D70">
        <w:rPr>
          <w:rFonts w:ascii="Times New Roman" w:hAnsi="Times New Roman" w:cs="Times New Roman"/>
          <w:b/>
          <w:bCs/>
          <w:snapToGrid w:val="0"/>
          <w:color w:val="000000"/>
          <w:sz w:val="24"/>
          <w:szCs w:val="24"/>
          <w:shd w:val="clear" w:color="auto" w:fill="FFFFFF"/>
        </w:rPr>
        <w:t>On Peak Total Annual Hours</w:t>
      </w:r>
    </w:p>
    <w:p w14:paraId="59ADDA05" w14:textId="77777777" w:rsidR="000C64AD" w:rsidRPr="00FD3D70" w:rsidRDefault="000C64AD" w:rsidP="000C64AD">
      <w:pPr>
        <w:pStyle w:val="ListParagraph"/>
        <w:widowControl/>
        <w:numPr>
          <w:ilvl w:val="1"/>
          <w:numId w:val="12"/>
        </w:numPr>
        <w:contextualSpacing/>
        <w:rPr>
          <w:rFonts w:ascii="Times New Roman" w:eastAsia="Times New Roman" w:hAnsi="Times New Roman" w:cs="Times New Roman"/>
          <w:b/>
          <w:bCs/>
          <w:snapToGrid w:val="0"/>
          <w:color w:val="000000"/>
          <w:sz w:val="24"/>
          <w:szCs w:val="24"/>
          <w:shd w:val="clear" w:color="auto" w:fill="FFFFFF"/>
        </w:rPr>
      </w:pPr>
      <w:r w:rsidRPr="00FD3D70">
        <w:rPr>
          <w:rFonts w:ascii="Times New Roman" w:hAnsi="Times New Roman" w:cs="Times New Roman"/>
          <w:b/>
          <w:bCs/>
          <w:snapToGrid w:val="0"/>
          <w:color w:val="000000"/>
          <w:sz w:val="24"/>
          <w:szCs w:val="24"/>
          <w:shd w:val="clear" w:color="auto" w:fill="FFFFFF"/>
        </w:rPr>
        <w:t>Off Peak (formerly Mid peak) Total Annual Hours</w:t>
      </w:r>
    </w:p>
    <w:p w14:paraId="7D91C50F" w14:textId="77777777" w:rsidR="000C64AD" w:rsidRPr="00FD3D70" w:rsidRDefault="000C64AD" w:rsidP="000C64AD">
      <w:pPr>
        <w:pStyle w:val="ListParagraph"/>
        <w:widowControl/>
        <w:numPr>
          <w:ilvl w:val="1"/>
          <w:numId w:val="12"/>
        </w:numPr>
        <w:contextualSpacing/>
        <w:rPr>
          <w:rFonts w:ascii="Times New Roman" w:eastAsia="Times New Roman" w:hAnsi="Times New Roman" w:cs="Times New Roman"/>
          <w:b/>
          <w:bCs/>
          <w:snapToGrid w:val="0"/>
          <w:color w:val="000000"/>
          <w:sz w:val="24"/>
          <w:szCs w:val="24"/>
          <w:shd w:val="clear" w:color="auto" w:fill="FFFFFF"/>
        </w:rPr>
      </w:pPr>
      <w:r w:rsidRPr="00FD3D70">
        <w:rPr>
          <w:rFonts w:ascii="Times New Roman" w:hAnsi="Times New Roman" w:cs="Times New Roman"/>
          <w:b/>
          <w:bCs/>
          <w:snapToGrid w:val="0"/>
          <w:color w:val="000000"/>
          <w:sz w:val="24"/>
          <w:szCs w:val="24"/>
          <w:shd w:val="clear" w:color="auto" w:fill="FFFFFF"/>
        </w:rPr>
        <w:t>Super Off Peak (formerly Off Peak) Total Annual Hours</w:t>
      </w:r>
    </w:p>
    <w:p w14:paraId="5C41C915" w14:textId="77777777" w:rsidR="000C64AD" w:rsidRPr="00FD3D70" w:rsidRDefault="000C64AD" w:rsidP="000C64AD">
      <w:pPr>
        <w:pStyle w:val="ListParagraph"/>
        <w:widowControl/>
        <w:numPr>
          <w:ilvl w:val="1"/>
          <w:numId w:val="12"/>
        </w:numPr>
        <w:contextualSpacing/>
        <w:rPr>
          <w:rFonts w:ascii="Times New Roman" w:eastAsia="Times New Roman" w:hAnsi="Times New Roman" w:cs="Times New Roman"/>
          <w:b/>
          <w:bCs/>
          <w:snapToGrid w:val="0"/>
          <w:color w:val="000000"/>
          <w:sz w:val="24"/>
          <w:szCs w:val="24"/>
          <w:shd w:val="clear" w:color="auto" w:fill="FFFFFF"/>
        </w:rPr>
      </w:pPr>
      <w:r w:rsidRPr="00FD3D70">
        <w:rPr>
          <w:rFonts w:ascii="Times New Roman" w:hAnsi="Times New Roman" w:cs="Times New Roman"/>
          <w:b/>
          <w:bCs/>
          <w:snapToGrid w:val="0"/>
          <w:color w:val="000000"/>
          <w:sz w:val="24"/>
          <w:szCs w:val="24"/>
          <w:shd w:val="clear" w:color="auto" w:fill="FFFFFF"/>
        </w:rPr>
        <w:t xml:space="preserve">How many annual peak hours increased </w:t>
      </w:r>
    </w:p>
    <w:p w14:paraId="62CC158D" w14:textId="77777777" w:rsidR="000C64AD" w:rsidRPr="00FD3D70" w:rsidRDefault="000C64AD" w:rsidP="000C64AD">
      <w:pPr>
        <w:pStyle w:val="ListParagraph"/>
        <w:widowControl/>
        <w:numPr>
          <w:ilvl w:val="1"/>
          <w:numId w:val="12"/>
        </w:numPr>
        <w:contextualSpacing/>
        <w:rPr>
          <w:rFonts w:ascii="Times New Roman" w:eastAsia="Times New Roman" w:hAnsi="Times New Roman" w:cs="Times New Roman"/>
          <w:b/>
          <w:bCs/>
          <w:snapToGrid w:val="0"/>
          <w:color w:val="000000"/>
          <w:sz w:val="24"/>
          <w:szCs w:val="24"/>
          <w:shd w:val="clear" w:color="auto" w:fill="FFFFFF"/>
        </w:rPr>
      </w:pPr>
      <w:r w:rsidRPr="00FD3D70">
        <w:rPr>
          <w:rFonts w:ascii="Times New Roman" w:hAnsi="Times New Roman" w:cs="Times New Roman"/>
          <w:b/>
          <w:bCs/>
          <w:snapToGrid w:val="0"/>
          <w:color w:val="000000"/>
          <w:sz w:val="24"/>
          <w:szCs w:val="24"/>
          <w:shd w:val="clear" w:color="auto" w:fill="FFFFFF"/>
        </w:rPr>
        <w:t xml:space="preserve">How many annual Off-peak hours increased </w:t>
      </w:r>
    </w:p>
    <w:p w14:paraId="4A63A3C7" w14:textId="77777777" w:rsidR="000C64AD" w:rsidRPr="00FD3D70" w:rsidRDefault="000C64AD" w:rsidP="000C64AD">
      <w:pPr>
        <w:pStyle w:val="ListParagraph"/>
        <w:widowControl/>
        <w:numPr>
          <w:ilvl w:val="1"/>
          <w:numId w:val="12"/>
        </w:numPr>
        <w:contextualSpacing/>
        <w:rPr>
          <w:rFonts w:ascii="Times New Roman" w:eastAsia="Times New Roman" w:hAnsi="Times New Roman" w:cs="Times New Roman"/>
          <w:b/>
          <w:bCs/>
          <w:snapToGrid w:val="0"/>
          <w:color w:val="000000"/>
          <w:sz w:val="24"/>
          <w:szCs w:val="24"/>
          <w:shd w:val="clear" w:color="auto" w:fill="FFFFFF"/>
        </w:rPr>
      </w:pPr>
      <w:r w:rsidRPr="00FD3D70">
        <w:rPr>
          <w:rFonts w:ascii="Times New Roman" w:hAnsi="Times New Roman" w:cs="Times New Roman"/>
          <w:b/>
          <w:bCs/>
          <w:snapToGrid w:val="0"/>
          <w:color w:val="000000"/>
          <w:sz w:val="24"/>
          <w:szCs w:val="24"/>
          <w:shd w:val="clear" w:color="auto" w:fill="FFFFFF"/>
        </w:rPr>
        <w:t xml:space="preserve">How many annual Super Off Peak hours decreased? </w:t>
      </w:r>
    </w:p>
    <w:p w14:paraId="6B8EF629" w14:textId="77777777" w:rsidR="000C64AD" w:rsidRPr="00FD3D70" w:rsidRDefault="000C64AD" w:rsidP="000C64AD">
      <w:pPr>
        <w:pStyle w:val="ListParagraph"/>
        <w:widowControl/>
        <w:numPr>
          <w:ilvl w:val="1"/>
          <w:numId w:val="12"/>
        </w:numPr>
        <w:contextualSpacing/>
        <w:rPr>
          <w:rFonts w:ascii="Times New Roman" w:eastAsia="Times New Roman" w:hAnsi="Times New Roman" w:cs="Times New Roman"/>
          <w:b/>
          <w:bCs/>
          <w:snapToGrid w:val="0"/>
          <w:color w:val="000000"/>
          <w:sz w:val="24"/>
          <w:szCs w:val="24"/>
          <w:shd w:val="clear" w:color="auto" w:fill="FFFFFF"/>
        </w:rPr>
      </w:pPr>
      <w:r w:rsidRPr="00FD3D70">
        <w:rPr>
          <w:rFonts w:ascii="Times New Roman" w:hAnsi="Times New Roman" w:cs="Times New Roman"/>
          <w:b/>
          <w:bCs/>
          <w:snapToGrid w:val="0"/>
          <w:color w:val="000000"/>
          <w:sz w:val="24"/>
          <w:szCs w:val="24"/>
          <w:shd w:val="clear" w:color="auto" w:fill="FFFFFF"/>
        </w:rPr>
        <w:t>How many total annual hours increased</w:t>
      </w:r>
    </w:p>
    <w:p w14:paraId="6686802C" w14:textId="77777777" w:rsidR="000C64AD" w:rsidRPr="00FD3D70" w:rsidRDefault="000C64AD" w:rsidP="000C64AD">
      <w:pPr>
        <w:pStyle w:val="ListParagraph"/>
        <w:widowControl/>
        <w:numPr>
          <w:ilvl w:val="1"/>
          <w:numId w:val="12"/>
        </w:numPr>
        <w:contextualSpacing/>
        <w:rPr>
          <w:rFonts w:ascii="Times New Roman" w:eastAsia="Times New Roman" w:hAnsi="Times New Roman" w:cs="Times New Roman"/>
          <w:b/>
          <w:bCs/>
          <w:snapToGrid w:val="0"/>
          <w:color w:val="000000"/>
          <w:sz w:val="24"/>
          <w:szCs w:val="24"/>
          <w:shd w:val="clear" w:color="auto" w:fill="FFFFFF"/>
        </w:rPr>
      </w:pPr>
      <w:r w:rsidRPr="00FD3D70">
        <w:rPr>
          <w:rFonts w:ascii="Times New Roman" w:hAnsi="Times New Roman" w:cs="Times New Roman"/>
          <w:b/>
          <w:bCs/>
          <w:snapToGrid w:val="0"/>
          <w:color w:val="000000"/>
          <w:sz w:val="24"/>
          <w:szCs w:val="24"/>
          <w:shd w:val="clear" w:color="auto" w:fill="FFFFFF"/>
        </w:rPr>
        <w:t>How many total annual hours increased on weekends</w:t>
      </w:r>
    </w:p>
    <w:p w14:paraId="50F00CCC" w14:textId="77777777" w:rsidR="000C64AD" w:rsidRPr="00FD3D70" w:rsidRDefault="000C64AD" w:rsidP="000C64AD">
      <w:pPr>
        <w:pStyle w:val="ListParagraph"/>
        <w:widowControl/>
        <w:numPr>
          <w:ilvl w:val="2"/>
          <w:numId w:val="12"/>
        </w:numPr>
        <w:contextualSpacing/>
        <w:rPr>
          <w:rFonts w:ascii="Times New Roman" w:eastAsia="Times New Roman" w:hAnsi="Times New Roman" w:cs="Times New Roman"/>
          <w:b/>
          <w:bCs/>
          <w:snapToGrid w:val="0"/>
          <w:color w:val="000000"/>
          <w:sz w:val="24"/>
          <w:szCs w:val="24"/>
          <w:shd w:val="clear" w:color="auto" w:fill="FFFFFF"/>
        </w:rPr>
      </w:pPr>
      <w:r w:rsidRPr="00FD3D70">
        <w:rPr>
          <w:rFonts w:ascii="Times New Roman" w:hAnsi="Times New Roman" w:cs="Times New Roman"/>
          <w:b/>
          <w:bCs/>
          <w:snapToGrid w:val="0"/>
          <w:color w:val="000000"/>
          <w:sz w:val="24"/>
          <w:szCs w:val="24"/>
          <w:shd w:val="clear" w:color="auto" w:fill="FFFFFF"/>
        </w:rPr>
        <w:t>How many days in the year are weekends?</w:t>
      </w:r>
    </w:p>
    <w:p w14:paraId="2427CEC5" w14:textId="77777777" w:rsidR="000C64AD" w:rsidRPr="00FD3D70" w:rsidRDefault="000C64AD" w:rsidP="000C64AD">
      <w:pPr>
        <w:pStyle w:val="ListParagraph"/>
        <w:widowControl/>
        <w:numPr>
          <w:ilvl w:val="1"/>
          <w:numId w:val="12"/>
        </w:numPr>
        <w:contextualSpacing/>
        <w:rPr>
          <w:rFonts w:ascii="Times New Roman" w:eastAsia="Times New Roman" w:hAnsi="Times New Roman" w:cs="Times New Roman"/>
          <w:b/>
          <w:bCs/>
          <w:snapToGrid w:val="0"/>
          <w:color w:val="000000"/>
          <w:sz w:val="24"/>
          <w:szCs w:val="24"/>
          <w:shd w:val="clear" w:color="auto" w:fill="FFFFFF"/>
        </w:rPr>
      </w:pPr>
      <w:r w:rsidRPr="00FD3D70">
        <w:rPr>
          <w:rFonts w:ascii="Times New Roman" w:hAnsi="Times New Roman" w:cs="Times New Roman"/>
          <w:b/>
          <w:bCs/>
          <w:snapToGrid w:val="0"/>
          <w:color w:val="000000"/>
          <w:sz w:val="24"/>
          <w:szCs w:val="24"/>
          <w:shd w:val="clear" w:color="auto" w:fill="FFFFFF"/>
        </w:rPr>
        <w:t>How many total annual hours increased on Holidays</w:t>
      </w:r>
    </w:p>
    <w:p w14:paraId="26341B2F" w14:textId="77777777" w:rsidR="000C64AD" w:rsidRPr="00FD3D70" w:rsidRDefault="000C64AD" w:rsidP="000C64AD">
      <w:pPr>
        <w:pStyle w:val="ListParagraph"/>
        <w:widowControl/>
        <w:numPr>
          <w:ilvl w:val="2"/>
          <w:numId w:val="12"/>
        </w:numPr>
        <w:contextualSpacing/>
        <w:rPr>
          <w:rFonts w:ascii="Times New Roman" w:eastAsia="Times New Roman" w:hAnsi="Times New Roman" w:cs="Times New Roman"/>
          <w:b/>
          <w:bCs/>
          <w:snapToGrid w:val="0"/>
          <w:color w:val="000000"/>
          <w:sz w:val="24"/>
          <w:szCs w:val="24"/>
          <w:shd w:val="clear" w:color="auto" w:fill="FFFFFF"/>
        </w:rPr>
      </w:pPr>
      <w:r w:rsidRPr="00FD3D70">
        <w:rPr>
          <w:rFonts w:ascii="Times New Roman" w:hAnsi="Times New Roman" w:cs="Times New Roman"/>
          <w:b/>
          <w:bCs/>
          <w:snapToGrid w:val="0"/>
          <w:color w:val="000000"/>
          <w:sz w:val="24"/>
          <w:szCs w:val="24"/>
          <w:shd w:val="clear" w:color="auto" w:fill="FFFFFF"/>
        </w:rPr>
        <w:t>How many days in the year are Holidays?</w:t>
      </w:r>
    </w:p>
    <w:p w14:paraId="0CB33D04" w14:textId="77777777" w:rsidR="00120178" w:rsidRDefault="000C64AD" w:rsidP="00120178">
      <w:pPr>
        <w:pStyle w:val="ListParagraph"/>
        <w:widowControl/>
        <w:numPr>
          <w:ilvl w:val="1"/>
          <w:numId w:val="12"/>
        </w:numPr>
        <w:contextualSpacing/>
        <w:rPr>
          <w:rFonts w:ascii="Times New Roman" w:eastAsia="Times New Roman" w:hAnsi="Times New Roman" w:cs="Times New Roman"/>
          <w:b/>
          <w:bCs/>
          <w:snapToGrid w:val="0"/>
          <w:color w:val="000000"/>
          <w:sz w:val="24"/>
          <w:szCs w:val="24"/>
          <w:shd w:val="clear" w:color="auto" w:fill="FFFFFF"/>
        </w:rPr>
      </w:pPr>
      <w:r w:rsidRPr="00FD3D70">
        <w:rPr>
          <w:rFonts w:ascii="Times New Roman" w:hAnsi="Times New Roman" w:cs="Times New Roman"/>
          <w:b/>
          <w:bCs/>
          <w:snapToGrid w:val="0"/>
          <w:sz w:val="24"/>
          <w:szCs w:val="24"/>
          <w:shd w:val="clear" w:color="auto" w:fill="FFFFFF"/>
        </w:rPr>
        <w:t xml:space="preserve">Please show this in a work paper. </w:t>
      </w:r>
    </w:p>
    <w:p w14:paraId="0FDCD409" w14:textId="77777777" w:rsidR="00242CBC" w:rsidRDefault="00242CBC" w:rsidP="00D57741">
      <w:pPr>
        <w:pStyle w:val="ListParagraph"/>
        <w:widowControl/>
        <w:ind w:left="270"/>
        <w:contextualSpacing/>
        <w:rPr>
          <w:rFonts w:ascii="Times New Roman" w:hAnsi="Times New Roman" w:cs="Times New Roman"/>
          <w:b/>
          <w:bCs/>
          <w:sz w:val="24"/>
          <w:szCs w:val="24"/>
          <w:shd w:val="clear" w:color="auto" w:fill="FFFFFF"/>
        </w:rPr>
      </w:pPr>
    </w:p>
    <w:p w14:paraId="7C937DCB" w14:textId="535570FF" w:rsidR="000C64AD" w:rsidRDefault="00120178" w:rsidP="00D57741">
      <w:pPr>
        <w:pStyle w:val="ListParagraph"/>
        <w:widowControl/>
        <w:ind w:left="270"/>
        <w:contextualSpacing/>
        <w:rPr>
          <w:rFonts w:ascii="Times New Roman" w:eastAsia="Times New Roman" w:hAnsi="Times New Roman" w:cs="Times New Roman"/>
          <w:b/>
          <w:bCs/>
          <w:snapToGrid w:val="0"/>
          <w:color w:val="000000"/>
          <w:sz w:val="24"/>
          <w:szCs w:val="24"/>
          <w:shd w:val="clear" w:color="auto" w:fill="FFFFFF"/>
        </w:rPr>
      </w:pPr>
      <w:r w:rsidRPr="00B13B49">
        <w:rPr>
          <w:rFonts w:ascii="Times New Roman" w:hAnsi="Times New Roman" w:cs="Times New Roman"/>
          <w:b/>
          <w:bCs/>
          <w:sz w:val="24"/>
          <w:szCs w:val="24"/>
          <w:shd w:val="clear" w:color="auto" w:fill="FFFFFF"/>
        </w:rPr>
        <w:t>SDG&amp;E Response:</w:t>
      </w:r>
      <w:r w:rsidR="003A02E3">
        <w:rPr>
          <w:rFonts w:ascii="Times New Roman" w:hAnsi="Times New Roman" w:cs="Times New Roman"/>
          <w:b/>
          <w:bCs/>
          <w:sz w:val="24"/>
          <w:szCs w:val="24"/>
          <w:shd w:val="clear" w:color="auto" w:fill="FFFFFF"/>
        </w:rPr>
        <w:t xml:space="preserve"> </w:t>
      </w:r>
    </w:p>
    <w:p w14:paraId="418FD15F" w14:textId="183DE07D" w:rsidR="008D01EF" w:rsidRDefault="008D01EF" w:rsidP="008D01EF">
      <w:pPr>
        <w:pStyle w:val="ListParagraph"/>
        <w:widowControl/>
        <w:ind w:left="270"/>
        <w:contextualSpacing/>
        <w:rPr>
          <w:rFonts w:ascii="Times New Roman" w:eastAsia="Times New Roman" w:hAnsi="Times New Roman" w:cs="Times New Roman"/>
          <w:b/>
          <w:bCs/>
          <w:snapToGrid w:val="0"/>
          <w:sz w:val="24"/>
          <w:szCs w:val="20"/>
        </w:rPr>
      </w:pPr>
      <w:r w:rsidRPr="008D01EF">
        <w:rPr>
          <w:rFonts w:ascii="Times New Roman" w:eastAsia="Times New Roman" w:hAnsi="Times New Roman" w:cs="Times New Roman"/>
          <w:bCs/>
          <w:snapToGrid w:val="0"/>
          <w:sz w:val="24"/>
          <w:szCs w:val="20"/>
        </w:rPr>
        <w:t>SDG&amp;E objects to this request to the extent it seeks information that is equally available to SDAP.  Subject to and without waiving this objection, SDG&amp;E responds as follows:</w:t>
      </w:r>
      <w:r w:rsidRPr="008D01EF">
        <w:rPr>
          <w:rFonts w:ascii="Times New Roman" w:eastAsia="Times New Roman" w:hAnsi="Times New Roman" w:cs="Times New Roman"/>
          <w:b/>
          <w:bCs/>
          <w:snapToGrid w:val="0"/>
          <w:sz w:val="24"/>
          <w:szCs w:val="20"/>
        </w:rPr>
        <w:t xml:space="preserve">  </w:t>
      </w:r>
    </w:p>
    <w:p w14:paraId="301B678D" w14:textId="77777777" w:rsidR="008D01EF" w:rsidRPr="008D01EF" w:rsidRDefault="008D01EF" w:rsidP="008D01EF">
      <w:pPr>
        <w:pStyle w:val="ListParagraph"/>
        <w:widowControl/>
        <w:ind w:left="270"/>
        <w:contextualSpacing/>
        <w:rPr>
          <w:rFonts w:ascii="Times New Roman" w:eastAsia="Times New Roman" w:hAnsi="Times New Roman" w:cs="Times New Roman"/>
          <w:b/>
          <w:bCs/>
          <w:snapToGrid w:val="0"/>
          <w:sz w:val="24"/>
          <w:szCs w:val="20"/>
        </w:rPr>
      </w:pPr>
    </w:p>
    <w:p w14:paraId="3D9F6621" w14:textId="01846598" w:rsidR="00D57741" w:rsidRPr="0000030F" w:rsidRDefault="00D57741" w:rsidP="00D57741">
      <w:pPr>
        <w:pStyle w:val="ListParagraph"/>
        <w:widowControl/>
        <w:ind w:left="270"/>
        <w:contextualSpacing/>
        <w:rPr>
          <w:rFonts w:ascii="Times New Roman" w:eastAsia="Times New Roman" w:hAnsi="Times New Roman" w:cs="Times New Roman"/>
          <w:snapToGrid w:val="0"/>
          <w:sz w:val="24"/>
          <w:szCs w:val="20"/>
        </w:rPr>
      </w:pPr>
      <w:r w:rsidRPr="0000030F">
        <w:rPr>
          <w:rFonts w:ascii="Times New Roman" w:eastAsia="Times New Roman" w:hAnsi="Times New Roman" w:cs="Times New Roman"/>
          <w:snapToGrid w:val="0"/>
          <w:sz w:val="24"/>
          <w:szCs w:val="20"/>
        </w:rPr>
        <w:t>As previously provided in R.18-12-006 in response to SDAP Data Request #2, Question #</w:t>
      </w:r>
      <w:r w:rsidR="00BF6C6E" w:rsidRPr="0000030F">
        <w:rPr>
          <w:rFonts w:ascii="Times New Roman" w:eastAsia="Times New Roman" w:hAnsi="Times New Roman" w:cs="Times New Roman"/>
          <w:snapToGrid w:val="0"/>
          <w:sz w:val="24"/>
          <w:szCs w:val="20"/>
        </w:rPr>
        <w:t xml:space="preserve">7, please see attached </w:t>
      </w:r>
      <w:r w:rsidR="00BF6C6E" w:rsidRPr="006A4348">
        <w:rPr>
          <w:rFonts w:ascii="Times New Roman" w:eastAsia="Times New Roman" w:hAnsi="Times New Roman" w:cs="Times New Roman"/>
          <w:snapToGrid w:val="0"/>
          <w:sz w:val="24"/>
          <w:szCs w:val="20"/>
        </w:rPr>
        <w:t xml:space="preserve">workpaper </w:t>
      </w:r>
      <w:r w:rsidR="00BF6C6E" w:rsidRPr="00B85D13">
        <w:rPr>
          <w:rFonts w:ascii="Times New Roman" w:eastAsia="Times New Roman" w:hAnsi="Times New Roman" w:cs="Times New Roman"/>
          <w:snapToGrid w:val="0"/>
          <w:sz w:val="24"/>
          <w:szCs w:val="20"/>
        </w:rPr>
        <w:t>titled “SDAP DR 0</w:t>
      </w:r>
      <w:r w:rsidR="00983275" w:rsidRPr="00B85D13">
        <w:rPr>
          <w:rFonts w:ascii="Times New Roman" w:eastAsia="Times New Roman" w:hAnsi="Times New Roman" w:cs="Times New Roman"/>
          <w:snapToGrid w:val="0"/>
          <w:sz w:val="24"/>
          <w:szCs w:val="20"/>
        </w:rPr>
        <w:t>2</w:t>
      </w:r>
      <w:r w:rsidR="0044670F" w:rsidRPr="00B85D13">
        <w:rPr>
          <w:rFonts w:ascii="Times New Roman" w:eastAsia="Times New Roman" w:hAnsi="Times New Roman" w:cs="Times New Roman"/>
          <w:snapToGrid w:val="0"/>
          <w:sz w:val="24"/>
          <w:szCs w:val="20"/>
        </w:rPr>
        <w:t xml:space="preserve"> – </w:t>
      </w:r>
      <w:r w:rsidR="00BF6C6E" w:rsidRPr="00B85D13">
        <w:rPr>
          <w:rFonts w:ascii="Times New Roman" w:eastAsia="Times New Roman" w:hAnsi="Times New Roman" w:cs="Times New Roman"/>
          <w:snapToGrid w:val="0"/>
          <w:sz w:val="24"/>
          <w:szCs w:val="20"/>
        </w:rPr>
        <w:t>Q21.xlsx”.</w:t>
      </w:r>
    </w:p>
    <w:p w14:paraId="409BFBC8" w14:textId="77777777" w:rsidR="00D57741" w:rsidRPr="00FD3D70" w:rsidRDefault="00D57741" w:rsidP="00D57741">
      <w:pPr>
        <w:pStyle w:val="ListParagraph"/>
        <w:widowControl/>
        <w:ind w:left="270"/>
        <w:contextualSpacing/>
        <w:rPr>
          <w:rFonts w:ascii="Times New Roman" w:hAnsi="Times New Roman" w:cs="Times New Roman"/>
          <w:color w:val="000000"/>
          <w:sz w:val="24"/>
          <w:szCs w:val="24"/>
        </w:rPr>
      </w:pPr>
    </w:p>
    <w:p w14:paraId="4517BA36" w14:textId="77777777" w:rsidR="00120178" w:rsidRPr="0000030F" w:rsidRDefault="000C64AD" w:rsidP="00120178">
      <w:pPr>
        <w:pStyle w:val="ListParagraph"/>
        <w:widowControl/>
        <w:numPr>
          <w:ilvl w:val="0"/>
          <w:numId w:val="11"/>
        </w:numPr>
        <w:spacing w:line="276" w:lineRule="auto"/>
        <w:contextualSpacing/>
        <w:rPr>
          <w:rFonts w:ascii="Times New Roman" w:eastAsia="Times New Roman" w:hAnsi="Times New Roman" w:cs="Times New Roman"/>
          <w:b/>
          <w:bCs/>
          <w:snapToGrid w:val="0"/>
          <w:sz w:val="24"/>
          <w:szCs w:val="24"/>
          <w:shd w:val="clear" w:color="auto" w:fill="FFFFFF"/>
        </w:rPr>
      </w:pPr>
      <w:r w:rsidRPr="00FD3D70">
        <w:rPr>
          <w:rFonts w:ascii="Times New Roman" w:hAnsi="Times New Roman" w:cs="Times New Roman"/>
          <w:b/>
          <w:bCs/>
          <w:snapToGrid w:val="0"/>
          <w:color w:val="000000"/>
          <w:sz w:val="24"/>
          <w:szCs w:val="24"/>
          <w:shd w:val="clear" w:color="auto" w:fill="FFFFFF"/>
        </w:rPr>
        <w:t xml:space="preserve">Ratchet Rate: Please explain how Ratchet Rate impacts a customer and how and who it impacts. </w:t>
      </w:r>
    </w:p>
    <w:p w14:paraId="1F3149A4" w14:textId="77777777" w:rsidR="0000030F" w:rsidRDefault="0000030F" w:rsidP="0000030F">
      <w:pPr>
        <w:pStyle w:val="ListParagraph"/>
        <w:widowControl/>
        <w:spacing w:line="276" w:lineRule="auto"/>
        <w:ind w:left="630"/>
        <w:contextualSpacing/>
        <w:rPr>
          <w:rFonts w:ascii="Times New Roman" w:eastAsia="Times New Roman" w:hAnsi="Times New Roman" w:cs="Times New Roman"/>
          <w:b/>
          <w:bCs/>
          <w:snapToGrid w:val="0"/>
          <w:sz w:val="24"/>
          <w:szCs w:val="24"/>
          <w:shd w:val="clear" w:color="auto" w:fill="FFFFFF"/>
        </w:rPr>
      </w:pPr>
    </w:p>
    <w:p w14:paraId="770D19D8" w14:textId="77777777" w:rsidR="00350C6E" w:rsidRPr="00350C6E" w:rsidRDefault="00120178" w:rsidP="00350C6E">
      <w:pPr>
        <w:rPr>
          <w:rFonts w:ascii="Times New Roman" w:hAnsi="Times New Roman" w:cs="Times New Roman"/>
          <w:b/>
          <w:bCs/>
          <w:snapToGrid w:val="0"/>
          <w:sz w:val="24"/>
          <w:szCs w:val="24"/>
          <w:shd w:val="clear" w:color="auto" w:fill="FFFFFF"/>
        </w:rPr>
      </w:pPr>
      <w:r w:rsidRPr="0000030F">
        <w:rPr>
          <w:rFonts w:ascii="Times New Roman" w:hAnsi="Times New Roman" w:cs="Times New Roman"/>
          <w:b/>
          <w:bCs/>
          <w:sz w:val="24"/>
          <w:szCs w:val="24"/>
          <w:shd w:val="clear" w:color="auto" w:fill="FFFFFF"/>
        </w:rPr>
        <w:lastRenderedPageBreak/>
        <w:t>SDG&amp;E Response:</w:t>
      </w:r>
      <w:r w:rsidR="0000030F">
        <w:rPr>
          <w:rFonts w:ascii="Times New Roman" w:hAnsi="Times New Roman" w:cs="Times New Roman"/>
          <w:b/>
          <w:bCs/>
          <w:sz w:val="24"/>
          <w:szCs w:val="24"/>
          <w:shd w:val="clear" w:color="auto" w:fill="FFFFFF"/>
        </w:rPr>
        <w:t xml:space="preserve"> </w:t>
      </w:r>
      <w:r w:rsidR="00350C6E" w:rsidRPr="00350C6E">
        <w:rPr>
          <w:rFonts w:ascii="Times New Roman" w:hAnsi="Times New Roman" w:cs="Times New Roman"/>
          <w:snapToGrid w:val="0"/>
          <w:sz w:val="24"/>
          <w:szCs w:val="24"/>
        </w:rPr>
        <w:t>A rachet mechanis</w:t>
      </w:r>
      <w:bookmarkStart w:id="3" w:name="_GoBack"/>
      <w:bookmarkEnd w:id="3"/>
      <w:r w:rsidR="00350C6E" w:rsidRPr="00350C6E">
        <w:rPr>
          <w:rFonts w:ascii="Times New Roman" w:hAnsi="Times New Roman" w:cs="Times New Roman"/>
          <w:snapToGrid w:val="0"/>
          <w:sz w:val="24"/>
          <w:szCs w:val="24"/>
        </w:rPr>
        <w:t xml:space="preserve">m is a rate feature that locks in a floor at a certain level for the customer’s demand portion of the bill by taking historical demand into consideration. For SDG&amp;E’s M/L C&amp;I Customer Class tariffs, a customer’s non-coincident demand charge is based on the higher of the maximum monthly demand or 50% of the maximum annual demand of the prior year. This mechanism is meant to incentivize consistent reduction of a customer’s maximum demand and ensure cost recovery for customers who have larger peaks in some months of the year but still require system capacity to serve their peak load in those months with lower peak demands. The rachet mechanism reduces the risk of cross-subsidization from customers with high load factors to customers with low load factors and incentivizes customers to consistently manage demand. </w:t>
      </w:r>
    </w:p>
    <w:p w14:paraId="638A4D9B" w14:textId="0138B1E4" w:rsidR="000C64AD" w:rsidRPr="0000030F" w:rsidRDefault="000C64AD" w:rsidP="0000030F">
      <w:pPr>
        <w:pStyle w:val="ListParagraph"/>
        <w:widowControl/>
        <w:spacing w:line="276" w:lineRule="auto"/>
        <w:contextualSpacing/>
        <w:rPr>
          <w:rFonts w:ascii="Times New Roman" w:eastAsia="Times New Roman" w:hAnsi="Times New Roman" w:cs="Times New Roman"/>
          <w:b/>
          <w:bCs/>
          <w:snapToGrid w:val="0"/>
          <w:sz w:val="24"/>
          <w:szCs w:val="24"/>
          <w:shd w:val="clear" w:color="auto" w:fill="FFFFFF"/>
        </w:rPr>
      </w:pPr>
    </w:p>
    <w:sectPr w:rsidR="000C64AD" w:rsidRPr="0000030F">
      <w:headerReference w:type="default" r:id="rId10"/>
      <w:footerReference w:type="default" r:id="rId11"/>
      <w:pgSz w:w="12240" w:h="15840"/>
      <w:pgMar w:top="1480" w:right="1220" w:bottom="1140" w:left="1180" w:header="0"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BBF4DB" w14:textId="77777777" w:rsidR="00C75C9E" w:rsidRDefault="00C75C9E">
      <w:r>
        <w:separator/>
      </w:r>
    </w:p>
  </w:endnote>
  <w:endnote w:type="continuationSeparator" w:id="0">
    <w:p w14:paraId="0814AF8F" w14:textId="77777777" w:rsidR="00C75C9E" w:rsidRDefault="00C75C9E">
      <w:r>
        <w:continuationSeparator/>
      </w:r>
    </w:p>
  </w:endnote>
  <w:endnote w:type="continuationNotice" w:id="1">
    <w:p w14:paraId="33EE0163" w14:textId="77777777" w:rsidR="00C75C9E" w:rsidRDefault="00C75C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8332641"/>
      <w:docPartObj>
        <w:docPartGallery w:val="Page Numbers (Bottom of Page)"/>
        <w:docPartUnique/>
      </w:docPartObj>
    </w:sdtPr>
    <w:sdtEndPr>
      <w:rPr>
        <w:noProof/>
      </w:rPr>
    </w:sdtEndPr>
    <w:sdtContent>
      <w:p w14:paraId="3F6DD083" w14:textId="129CA02B" w:rsidR="00257835" w:rsidRDefault="00257835">
        <w:pPr>
          <w:pStyle w:val="Footer"/>
          <w:jc w:val="right"/>
        </w:pPr>
        <w:r>
          <w:fldChar w:fldCharType="begin"/>
        </w:r>
        <w:r>
          <w:instrText xml:space="preserve"> PAGE   \* MERGEFORMAT </w:instrText>
        </w:r>
        <w:r>
          <w:fldChar w:fldCharType="separate"/>
        </w:r>
        <w:r w:rsidR="00B670B5">
          <w:rPr>
            <w:noProof/>
          </w:rPr>
          <w:t>1</w:t>
        </w:r>
        <w:r>
          <w:rPr>
            <w:noProof/>
          </w:rPr>
          <w:fldChar w:fldCharType="end"/>
        </w:r>
      </w:p>
    </w:sdtContent>
  </w:sdt>
  <w:p w14:paraId="30DA468B" w14:textId="1C52C22D" w:rsidR="00257835" w:rsidRDefault="00257835">
    <w:pPr>
      <w:spacing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883114" w14:textId="77777777" w:rsidR="00C75C9E" w:rsidRDefault="00C75C9E">
      <w:r>
        <w:separator/>
      </w:r>
    </w:p>
  </w:footnote>
  <w:footnote w:type="continuationSeparator" w:id="0">
    <w:p w14:paraId="583D5C46" w14:textId="77777777" w:rsidR="00C75C9E" w:rsidRDefault="00C75C9E">
      <w:r>
        <w:continuationSeparator/>
      </w:r>
    </w:p>
  </w:footnote>
  <w:footnote w:type="continuationNotice" w:id="1">
    <w:p w14:paraId="270FEC24" w14:textId="77777777" w:rsidR="00C75C9E" w:rsidRDefault="00C75C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6C1B7" w14:textId="77777777" w:rsidR="00257835" w:rsidRDefault="00257835" w:rsidP="00E904AE">
    <w:pPr>
      <w:pStyle w:val="Default"/>
      <w:jc w:val="center"/>
      <w:rPr>
        <w:b/>
        <w:bCs/>
        <w:sz w:val="23"/>
        <w:szCs w:val="23"/>
      </w:rPr>
    </w:pPr>
    <w:r>
      <w:rPr>
        <w:b/>
        <w:bCs/>
        <w:sz w:val="23"/>
        <w:szCs w:val="23"/>
      </w:rPr>
      <w:softHyphen/>
    </w:r>
    <w:r>
      <w:rPr>
        <w:b/>
        <w:bCs/>
        <w:sz w:val="23"/>
        <w:szCs w:val="23"/>
      </w:rPr>
      <w:softHyphen/>
    </w:r>
    <w:r>
      <w:rPr>
        <w:b/>
        <w:bCs/>
        <w:sz w:val="23"/>
        <w:szCs w:val="23"/>
      </w:rPr>
      <w:softHyphen/>
    </w:r>
    <w:r>
      <w:rPr>
        <w:b/>
        <w:bCs/>
        <w:sz w:val="23"/>
        <w:szCs w:val="23"/>
      </w:rPr>
      <w:softHyphen/>
    </w:r>
    <w:r>
      <w:rPr>
        <w:b/>
        <w:bCs/>
        <w:sz w:val="23"/>
        <w:szCs w:val="23"/>
      </w:rPr>
      <w:softHyphen/>
    </w:r>
    <w:r>
      <w:rPr>
        <w:b/>
        <w:bCs/>
        <w:sz w:val="23"/>
        <w:szCs w:val="23"/>
      </w:rPr>
      <w:softHyphen/>
    </w:r>
  </w:p>
  <w:p w14:paraId="66AAF096" w14:textId="49B98758" w:rsidR="009D6650" w:rsidRPr="00BB3B03" w:rsidRDefault="009B4739" w:rsidP="009D6650">
    <w:pPr>
      <w:pStyle w:val="ListParagraph"/>
      <w:jc w:val="center"/>
      <w:rPr>
        <w:rFonts w:ascii="Times New Roman" w:hAnsi="Times New Roman" w:cs="Times New Roman"/>
        <w:b/>
      </w:rPr>
    </w:pPr>
    <w:r>
      <w:rPr>
        <w:rFonts w:ascii="Times New Roman" w:hAnsi="Times New Roman" w:cs="Times New Roman"/>
        <w:b/>
      </w:rPr>
      <w:t>SDAP Data Request</w:t>
    </w:r>
    <w:r w:rsidR="004B285E">
      <w:rPr>
        <w:rFonts w:ascii="Times New Roman" w:hAnsi="Times New Roman" w:cs="Times New Roman"/>
        <w:b/>
      </w:rPr>
      <w:t xml:space="preserve"> 0</w:t>
    </w:r>
    <w:r w:rsidR="00B95CB7">
      <w:rPr>
        <w:rFonts w:ascii="Times New Roman" w:hAnsi="Times New Roman" w:cs="Times New Roman"/>
        <w:b/>
      </w:rPr>
      <w:t>2</w:t>
    </w:r>
    <w:r w:rsidR="009D6650" w:rsidRPr="00BB3B03">
      <w:rPr>
        <w:rFonts w:ascii="Times New Roman" w:hAnsi="Times New Roman" w:cs="Times New Roman"/>
        <w:b/>
      </w:rPr>
      <w:br/>
      <w:t>SDG&amp;E PHASE 2 GRC PROCEEDING</w:t>
    </w:r>
    <w:r>
      <w:rPr>
        <w:rFonts w:ascii="Times New Roman" w:hAnsi="Times New Roman" w:cs="Times New Roman"/>
        <w:b/>
      </w:rPr>
      <w:t xml:space="preserve"> </w:t>
    </w:r>
    <w:r w:rsidR="009D6650" w:rsidRPr="00BB3B03">
      <w:rPr>
        <w:rFonts w:ascii="Times New Roman" w:hAnsi="Times New Roman" w:cs="Times New Roman"/>
        <w:b/>
      </w:rPr>
      <w:t>- A.19-0</w:t>
    </w:r>
    <w:r w:rsidR="00F25E6E">
      <w:rPr>
        <w:rFonts w:ascii="Times New Roman" w:hAnsi="Times New Roman" w:cs="Times New Roman"/>
        <w:b/>
      </w:rPr>
      <w:t>3</w:t>
    </w:r>
    <w:r w:rsidR="009D6650" w:rsidRPr="00BB3B03">
      <w:rPr>
        <w:rFonts w:ascii="Times New Roman" w:hAnsi="Times New Roman" w:cs="Times New Roman"/>
        <w:b/>
      </w:rPr>
      <w:t>-00</w:t>
    </w:r>
    <w:r w:rsidR="00F25E6E">
      <w:rPr>
        <w:rFonts w:ascii="Times New Roman" w:hAnsi="Times New Roman" w:cs="Times New Roman"/>
        <w:b/>
      </w:rPr>
      <w:t>2</w:t>
    </w:r>
    <w:r w:rsidR="009D6650" w:rsidRPr="00BB3B03">
      <w:rPr>
        <w:rFonts w:ascii="Times New Roman" w:hAnsi="Times New Roman" w:cs="Times New Roman"/>
        <w:b/>
      </w:rPr>
      <w:br/>
      <w:t xml:space="preserve">DATE RECEIVED: </w:t>
    </w:r>
    <w:r w:rsidR="00D0646D">
      <w:rPr>
        <w:rFonts w:ascii="Times New Roman" w:hAnsi="Times New Roman" w:cs="Times New Roman"/>
        <w:b/>
      </w:rPr>
      <w:t>December 3</w:t>
    </w:r>
    <w:r w:rsidR="009D6650" w:rsidRPr="00BB3B03">
      <w:rPr>
        <w:rFonts w:ascii="Times New Roman" w:hAnsi="Times New Roman" w:cs="Times New Roman"/>
        <w:b/>
      </w:rPr>
      <w:t>, 2019</w:t>
    </w:r>
  </w:p>
  <w:p w14:paraId="46DCAB12" w14:textId="5F5D16BE" w:rsidR="009D6650" w:rsidRPr="00BB3B03" w:rsidRDefault="009D6650" w:rsidP="009D6650">
    <w:pPr>
      <w:pStyle w:val="ListParagraph"/>
      <w:jc w:val="center"/>
      <w:rPr>
        <w:rFonts w:ascii="Times New Roman" w:hAnsi="Times New Roman" w:cs="Times New Roman"/>
        <w:b/>
      </w:rPr>
    </w:pPr>
    <w:r w:rsidRPr="00BB3B03">
      <w:rPr>
        <w:rFonts w:ascii="Times New Roman" w:hAnsi="Times New Roman" w:cs="Times New Roman"/>
        <w:b/>
      </w:rPr>
      <w:t>DATE RESPONDED:</w:t>
    </w:r>
    <w:r>
      <w:rPr>
        <w:rFonts w:ascii="Times New Roman" w:hAnsi="Times New Roman" w:cs="Times New Roman"/>
        <w:b/>
      </w:rPr>
      <w:t xml:space="preserve"> </w:t>
    </w:r>
    <w:r w:rsidR="00D0646D">
      <w:rPr>
        <w:rFonts w:ascii="Times New Roman" w:hAnsi="Times New Roman" w:cs="Times New Roman"/>
        <w:b/>
      </w:rPr>
      <w:t xml:space="preserve">December </w:t>
    </w:r>
    <w:r w:rsidR="00F36502">
      <w:rPr>
        <w:rFonts w:ascii="Times New Roman" w:hAnsi="Times New Roman" w:cs="Times New Roman"/>
        <w:b/>
      </w:rPr>
      <w:t>1</w:t>
    </w:r>
    <w:r w:rsidR="00290C30">
      <w:rPr>
        <w:rFonts w:ascii="Times New Roman" w:hAnsi="Times New Roman" w:cs="Times New Roman"/>
        <w:b/>
      </w:rPr>
      <w:t>8</w:t>
    </w:r>
    <w:r w:rsidR="00F25E6E">
      <w:rPr>
        <w:rFonts w:ascii="Times New Roman" w:hAnsi="Times New Roman" w:cs="Times New Roman"/>
        <w:b/>
      </w:rPr>
      <w:t>, 2019</w:t>
    </w:r>
  </w:p>
  <w:p w14:paraId="25BD10E8" w14:textId="77777777" w:rsidR="00257835" w:rsidRDefault="002578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F23AF5"/>
    <w:multiLevelType w:val="hybridMultilevel"/>
    <w:tmpl w:val="63CCEBA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A37B54"/>
    <w:multiLevelType w:val="hybridMultilevel"/>
    <w:tmpl w:val="776E54E4"/>
    <w:lvl w:ilvl="0" w:tplc="0409000F">
      <w:start w:val="1"/>
      <w:numFmt w:val="decimal"/>
      <w:lvlText w:val="%1."/>
      <w:lvlJc w:val="left"/>
      <w:pPr>
        <w:ind w:left="720" w:hanging="360"/>
      </w:pPr>
      <w:rPr>
        <w:rFonts w:hint="default"/>
      </w:rPr>
    </w:lvl>
    <w:lvl w:ilvl="1" w:tplc="23A01ED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14B33"/>
    <w:multiLevelType w:val="hybridMultilevel"/>
    <w:tmpl w:val="6EDC76D8"/>
    <w:lvl w:ilvl="0" w:tplc="93F2304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D57065E"/>
    <w:multiLevelType w:val="hybridMultilevel"/>
    <w:tmpl w:val="03A4FD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0483F0A"/>
    <w:multiLevelType w:val="multilevel"/>
    <w:tmpl w:val="8144AC86"/>
    <w:lvl w:ilvl="0">
      <w:start w:val="1"/>
      <w:numFmt w:val="decimal"/>
      <w:lvlText w:val="%1."/>
      <w:lvlJc w:val="left"/>
      <w:pPr>
        <w:tabs>
          <w:tab w:val="num" w:pos="630"/>
        </w:tabs>
        <w:ind w:left="63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6031FB0"/>
    <w:multiLevelType w:val="multilevel"/>
    <w:tmpl w:val="BE92842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4A307B6"/>
    <w:multiLevelType w:val="hybridMultilevel"/>
    <w:tmpl w:val="16EA4DB4"/>
    <w:lvl w:ilvl="0" w:tplc="546045B2">
      <w:start w:val="1"/>
      <w:numFmt w:val="upperLetter"/>
      <w:lvlText w:val="%1."/>
      <w:lvlJc w:val="left"/>
      <w:pPr>
        <w:ind w:hanging="361"/>
      </w:pPr>
      <w:rPr>
        <w:rFonts w:ascii="Times New Roman" w:eastAsia="Times New Roman" w:hAnsi="Times New Roman" w:hint="default"/>
        <w:spacing w:val="-1"/>
        <w:sz w:val="22"/>
        <w:szCs w:val="22"/>
      </w:rPr>
    </w:lvl>
    <w:lvl w:ilvl="1" w:tplc="3948D4D2">
      <w:start w:val="1"/>
      <w:numFmt w:val="decimal"/>
      <w:lvlText w:val="%2."/>
      <w:lvlJc w:val="left"/>
      <w:pPr>
        <w:ind w:hanging="360"/>
      </w:pPr>
      <w:rPr>
        <w:rFonts w:ascii="Times New Roman" w:eastAsia="Times New Roman" w:hAnsi="Times New Roman" w:hint="default"/>
        <w:sz w:val="24"/>
        <w:szCs w:val="24"/>
      </w:rPr>
    </w:lvl>
    <w:lvl w:ilvl="2" w:tplc="F53ED514">
      <w:start w:val="1"/>
      <w:numFmt w:val="lowerLetter"/>
      <w:lvlText w:val="%3."/>
      <w:lvlJc w:val="left"/>
      <w:pPr>
        <w:ind w:hanging="360"/>
        <w:jc w:val="right"/>
      </w:pPr>
      <w:rPr>
        <w:rFonts w:ascii="Times New Roman" w:eastAsia="Times New Roman" w:hAnsi="Times New Roman" w:hint="default"/>
        <w:spacing w:val="-1"/>
        <w:sz w:val="24"/>
        <w:szCs w:val="24"/>
      </w:rPr>
    </w:lvl>
    <w:lvl w:ilvl="3" w:tplc="E480AD78">
      <w:start w:val="1"/>
      <w:numFmt w:val="lowerRoman"/>
      <w:lvlText w:val="%4."/>
      <w:lvlJc w:val="left"/>
      <w:pPr>
        <w:ind w:hanging="308"/>
        <w:jc w:val="right"/>
      </w:pPr>
      <w:rPr>
        <w:rFonts w:ascii="Times New Roman" w:eastAsia="Times New Roman" w:hAnsi="Times New Roman" w:hint="default"/>
        <w:sz w:val="24"/>
        <w:szCs w:val="24"/>
      </w:rPr>
    </w:lvl>
    <w:lvl w:ilvl="4" w:tplc="81F621A4">
      <w:start w:val="1"/>
      <w:numFmt w:val="bullet"/>
      <w:lvlText w:val="•"/>
      <w:lvlJc w:val="left"/>
      <w:rPr>
        <w:rFonts w:hint="default"/>
      </w:rPr>
    </w:lvl>
    <w:lvl w:ilvl="5" w:tplc="EA229F24">
      <w:start w:val="1"/>
      <w:numFmt w:val="bullet"/>
      <w:lvlText w:val="•"/>
      <w:lvlJc w:val="left"/>
      <w:rPr>
        <w:rFonts w:hint="default"/>
      </w:rPr>
    </w:lvl>
    <w:lvl w:ilvl="6" w:tplc="ACE2DC56">
      <w:start w:val="1"/>
      <w:numFmt w:val="bullet"/>
      <w:lvlText w:val="•"/>
      <w:lvlJc w:val="left"/>
      <w:rPr>
        <w:rFonts w:hint="default"/>
      </w:rPr>
    </w:lvl>
    <w:lvl w:ilvl="7" w:tplc="898C3E08">
      <w:start w:val="1"/>
      <w:numFmt w:val="bullet"/>
      <w:lvlText w:val="•"/>
      <w:lvlJc w:val="left"/>
      <w:rPr>
        <w:rFonts w:hint="default"/>
      </w:rPr>
    </w:lvl>
    <w:lvl w:ilvl="8" w:tplc="37D2C976">
      <w:start w:val="1"/>
      <w:numFmt w:val="bullet"/>
      <w:lvlText w:val="•"/>
      <w:lvlJc w:val="left"/>
      <w:rPr>
        <w:rFonts w:hint="default"/>
      </w:rPr>
    </w:lvl>
  </w:abstractNum>
  <w:abstractNum w:abstractNumId="7" w15:restartNumberingAfterBreak="0">
    <w:nsid w:val="563C7AE9"/>
    <w:multiLevelType w:val="hybridMultilevel"/>
    <w:tmpl w:val="0416000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971058"/>
    <w:multiLevelType w:val="hybridMultilevel"/>
    <w:tmpl w:val="235A9B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D23A83"/>
    <w:multiLevelType w:val="hybridMultilevel"/>
    <w:tmpl w:val="1040D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0256D6"/>
    <w:multiLevelType w:val="hybridMultilevel"/>
    <w:tmpl w:val="F110A1B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8C405B9"/>
    <w:multiLevelType w:val="multilevel"/>
    <w:tmpl w:val="8144AC86"/>
    <w:lvl w:ilvl="0">
      <w:start w:val="1"/>
      <w:numFmt w:val="decimal"/>
      <w:lvlText w:val="%1."/>
      <w:lvlJc w:val="left"/>
      <w:pPr>
        <w:tabs>
          <w:tab w:val="num" w:pos="630"/>
        </w:tabs>
        <w:ind w:left="63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BBF5984"/>
    <w:multiLevelType w:val="hybridMultilevel"/>
    <w:tmpl w:val="A8206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9"/>
  </w:num>
  <w:num w:numId="8">
    <w:abstractNumId w:val="1"/>
  </w:num>
  <w:num w:numId="9">
    <w:abstractNumId w:val="12"/>
  </w:num>
  <w:num w:numId="10">
    <w:abstractNumId w:val="7"/>
  </w:num>
  <w:num w:numId="11">
    <w:abstractNumId w:val="11"/>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1D6"/>
    <w:rsid w:val="0000030F"/>
    <w:rsid w:val="00000730"/>
    <w:rsid w:val="00002286"/>
    <w:rsid w:val="00002A05"/>
    <w:rsid w:val="000133A9"/>
    <w:rsid w:val="00015BD1"/>
    <w:rsid w:val="000249E4"/>
    <w:rsid w:val="00030A20"/>
    <w:rsid w:val="00036BA1"/>
    <w:rsid w:val="00040384"/>
    <w:rsid w:val="000473F3"/>
    <w:rsid w:val="00052D0B"/>
    <w:rsid w:val="00062B49"/>
    <w:rsid w:val="00067D4D"/>
    <w:rsid w:val="00090093"/>
    <w:rsid w:val="000932E2"/>
    <w:rsid w:val="000A6F05"/>
    <w:rsid w:val="000B2C0E"/>
    <w:rsid w:val="000B3494"/>
    <w:rsid w:val="000B710B"/>
    <w:rsid w:val="000C0424"/>
    <w:rsid w:val="000C102C"/>
    <w:rsid w:val="000C64AD"/>
    <w:rsid w:val="000D1EF9"/>
    <w:rsid w:val="000D24BA"/>
    <w:rsid w:val="000D2BBD"/>
    <w:rsid w:val="000D6ECD"/>
    <w:rsid w:val="000E4373"/>
    <w:rsid w:val="000E4C99"/>
    <w:rsid w:val="000F422F"/>
    <w:rsid w:val="000F5557"/>
    <w:rsid w:val="000F6F65"/>
    <w:rsid w:val="000F7616"/>
    <w:rsid w:val="00101039"/>
    <w:rsid w:val="00101D98"/>
    <w:rsid w:val="00104F5E"/>
    <w:rsid w:val="0010718F"/>
    <w:rsid w:val="0011484B"/>
    <w:rsid w:val="00117124"/>
    <w:rsid w:val="00120178"/>
    <w:rsid w:val="00120746"/>
    <w:rsid w:val="00121E7C"/>
    <w:rsid w:val="00134C25"/>
    <w:rsid w:val="00137417"/>
    <w:rsid w:val="00137E43"/>
    <w:rsid w:val="00142C40"/>
    <w:rsid w:val="0014783D"/>
    <w:rsid w:val="00151C1A"/>
    <w:rsid w:val="00153101"/>
    <w:rsid w:val="0015405C"/>
    <w:rsid w:val="00163795"/>
    <w:rsid w:val="00166C29"/>
    <w:rsid w:val="00167CF6"/>
    <w:rsid w:val="001729AE"/>
    <w:rsid w:val="00185196"/>
    <w:rsid w:val="00192F9B"/>
    <w:rsid w:val="001A2DEB"/>
    <w:rsid w:val="001A5210"/>
    <w:rsid w:val="001B2957"/>
    <w:rsid w:val="001B6807"/>
    <w:rsid w:val="001B7186"/>
    <w:rsid w:val="001C2241"/>
    <w:rsid w:val="001C5F92"/>
    <w:rsid w:val="001E66E7"/>
    <w:rsid w:val="001E73D1"/>
    <w:rsid w:val="001F1F3B"/>
    <w:rsid w:val="00212614"/>
    <w:rsid w:val="00227922"/>
    <w:rsid w:val="00227AD1"/>
    <w:rsid w:val="00230361"/>
    <w:rsid w:val="00242383"/>
    <w:rsid w:val="00242CBC"/>
    <w:rsid w:val="00245778"/>
    <w:rsid w:val="00247644"/>
    <w:rsid w:val="00250FB4"/>
    <w:rsid w:val="0025155C"/>
    <w:rsid w:val="002540A5"/>
    <w:rsid w:val="00256561"/>
    <w:rsid w:val="00257835"/>
    <w:rsid w:val="00264F5F"/>
    <w:rsid w:val="002730A7"/>
    <w:rsid w:val="00273D1D"/>
    <w:rsid w:val="00274084"/>
    <w:rsid w:val="00275311"/>
    <w:rsid w:val="0027631B"/>
    <w:rsid w:val="0027658B"/>
    <w:rsid w:val="00276B27"/>
    <w:rsid w:val="00290C30"/>
    <w:rsid w:val="00294908"/>
    <w:rsid w:val="002A19BC"/>
    <w:rsid w:val="002A48B2"/>
    <w:rsid w:val="002B219C"/>
    <w:rsid w:val="002B7723"/>
    <w:rsid w:val="002C0F11"/>
    <w:rsid w:val="002C110B"/>
    <w:rsid w:val="002C3FC3"/>
    <w:rsid w:val="002C4272"/>
    <w:rsid w:val="002C51C0"/>
    <w:rsid w:val="002C7B61"/>
    <w:rsid w:val="002D0D9B"/>
    <w:rsid w:val="002E0D01"/>
    <w:rsid w:val="002E1AC4"/>
    <w:rsid w:val="002F2139"/>
    <w:rsid w:val="002F4871"/>
    <w:rsid w:val="003108CA"/>
    <w:rsid w:val="003138A6"/>
    <w:rsid w:val="00317A8F"/>
    <w:rsid w:val="00320693"/>
    <w:rsid w:val="00322EA2"/>
    <w:rsid w:val="00331DCE"/>
    <w:rsid w:val="003364AD"/>
    <w:rsid w:val="003432CC"/>
    <w:rsid w:val="00350C6E"/>
    <w:rsid w:val="00360568"/>
    <w:rsid w:val="0036084A"/>
    <w:rsid w:val="00362A8A"/>
    <w:rsid w:val="003719EA"/>
    <w:rsid w:val="00371DE5"/>
    <w:rsid w:val="00374CC9"/>
    <w:rsid w:val="00391346"/>
    <w:rsid w:val="003920AA"/>
    <w:rsid w:val="00392874"/>
    <w:rsid w:val="003A02E3"/>
    <w:rsid w:val="003A4A85"/>
    <w:rsid w:val="003A6866"/>
    <w:rsid w:val="003B40AB"/>
    <w:rsid w:val="003B7BC2"/>
    <w:rsid w:val="003D0506"/>
    <w:rsid w:val="003D317D"/>
    <w:rsid w:val="003D3EF3"/>
    <w:rsid w:val="003E1C2F"/>
    <w:rsid w:val="003F1DCE"/>
    <w:rsid w:val="00403C51"/>
    <w:rsid w:val="00404616"/>
    <w:rsid w:val="004178A0"/>
    <w:rsid w:val="004214B7"/>
    <w:rsid w:val="004269F6"/>
    <w:rsid w:val="00427A0F"/>
    <w:rsid w:val="00442805"/>
    <w:rsid w:val="00442FCD"/>
    <w:rsid w:val="00445522"/>
    <w:rsid w:val="0044670F"/>
    <w:rsid w:val="004509C2"/>
    <w:rsid w:val="00487B33"/>
    <w:rsid w:val="00492FB9"/>
    <w:rsid w:val="004A0D4C"/>
    <w:rsid w:val="004B0621"/>
    <w:rsid w:val="004B285E"/>
    <w:rsid w:val="004B3FB3"/>
    <w:rsid w:val="004D375A"/>
    <w:rsid w:val="004E0494"/>
    <w:rsid w:val="004E527C"/>
    <w:rsid w:val="004F6195"/>
    <w:rsid w:val="004F6A69"/>
    <w:rsid w:val="004F78B9"/>
    <w:rsid w:val="00502AF1"/>
    <w:rsid w:val="00506317"/>
    <w:rsid w:val="0050650D"/>
    <w:rsid w:val="00523859"/>
    <w:rsid w:val="0052721A"/>
    <w:rsid w:val="0053055C"/>
    <w:rsid w:val="00542997"/>
    <w:rsid w:val="00584FC4"/>
    <w:rsid w:val="00593616"/>
    <w:rsid w:val="005A0F3C"/>
    <w:rsid w:val="005A533D"/>
    <w:rsid w:val="005B18D6"/>
    <w:rsid w:val="005B5AF1"/>
    <w:rsid w:val="005E25BA"/>
    <w:rsid w:val="005E4B3C"/>
    <w:rsid w:val="005F153D"/>
    <w:rsid w:val="005F5A21"/>
    <w:rsid w:val="005F656D"/>
    <w:rsid w:val="00610991"/>
    <w:rsid w:val="00616FEA"/>
    <w:rsid w:val="00621321"/>
    <w:rsid w:val="006305D5"/>
    <w:rsid w:val="00634AD6"/>
    <w:rsid w:val="00654A7C"/>
    <w:rsid w:val="00657F6E"/>
    <w:rsid w:val="006659B7"/>
    <w:rsid w:val="00676426"/>
    <w:rsid w:val="00681682"/>
    <w:rsid w:val="00683DE9"/>
    <w:rsid w:val="00684849"/>
    <w:rsid w:val="00695C35"/>
    <w:rsid w:val="0069799F"/>
    <w:rsid w:val="006A2A33"/>
    <w:rsid w:val="006A4348"/>
    <w:rsid w:val="006A724E"/>
    <w:rsid w:val="006B1F33"/>
    <w:rsid w:val="006B6ED7"/>
    <w:rsid w:val="006B7D74"/>
    <w:rsid w:val="006C348F"/>
    <w:rsid w:val="006C46C9"/>
    <w:rsid w:val="006D53E7"/>
    <w:rsid w:val="006E073E"/>
    <w:rsid w:val="006E3B4E"/>
    <w:rsid w:val="006E5B8E"/>
    <w:rsid w:val="006E7AEA"/>
    <w:rsid w:val="006F440F"/>
    <w:rsid w:val="0070745A"/>
    <w:rsid w:val="00724815"/>
    <w:rsid w:val="00727C31"/>
    <w:rsid w:val="007332AB"/>
    <w:rsid w:val="007449EF"/>
    <w:rsid w:val="00745ADA"/>
    <w:rsid w:val="00753CFD"/>
    <w:rsid w:val="007663EB"/>
    <w:rsid w:val="00773608"/>
    <w:rsid w:val="0078262C"/>
    <w:rsid w:val="007876AA"/>
    <w:rsid w:val="00787AC5"/>
    <w:rsid w:val="007A35F8"/>
    <w:rsid w:val="007A5A2A"/>
    <w:rsid w:val="007A7F06"/>
    <w:rsid w:val="007C3A48"/>
    <w:rsid w:val="007C5EF9"/>
    <w:rsid w:val="007C7193"/>
    <w:rsid w:val="007D677E"/>
    <w:rsid w:val="007D735F"/>
    <w:rsid w:val="007E2AD9"/>
    <w:rsid w:val="007E4F06"/>
    <w:rsid w:val="007F0826"/>
    <w:rsid w:val="00803E0C"/>
    <w:rsid w:val="00807A4D"/>
    <w:rsid w:val="008113E5"/>
    <w:rsid w:val="00811904"/>
    <w:rsid w:val="008131FF"/>
    <w:rsid w:val="008148B0"/>
    <w:rsid w:val="00817F06"/>
    <w:rsid w:val="008243E4"/>
    <w:rsid w:val="008269A0"/>
    <w:rsid w:val="00833571"/>
    <w:rsid w:val="00844369"/>
    <w:rsid w:val="008472AB"/>
    <w:rsid w:val="0085302F"/>
    <w:rsid w:val="00853264"/>
    <w:rsid w:val="00855C82"/>
    <w:rsid w:val="008566F9"/>
    <w:rsid w:val="0087248C"/>
    <w:rsid w:val="00883D24"/>
    <w:rsid w:val="00887D0E"/>
    <w:rsid w:val="00897339"/>
    <w:rsid w:val="008A0281"/>
    <w:rsid w:val="008A23CE"/>
    <w:rsid w:val="008A71CE"/>
    <w:rsid w:val="008A7402"/>
    <w:rsid w:val="008B5365"/>
    <w:rsid w:val="008C1929"/>
    <w:rsid w:val="008D0191"/>
    <w:rsid w:val="008D01EF"/>
    <w:rsid w:val="008E550E"/>
    <w:rsid w:val="008F02E0"/>
    <w:rsid w:val="008F05CE"/>
    <w:rsid w:val="00907727"/>
    <w:rsid w:val="009146C4"/>
    <w:rsid w:val="00917A0F"/>
    <w:rsid w:val="00921C40"/>
    <w:rsid w:val="00922C0C"/>
    <w:rsid w:val="009274BB"/>
    <w:rsid w:val="009319FE"/>
    <w:rsid w:val="00936D72"/>
    <w:rsid w:val="00937A08"/>
    <w:rsid w:val="009412FB"/>
    <w:rsid w:val="00943820"/>
    <w:rsid w:val="00943B34"/>
    <w:rsid w:val="00944954"/>
    <w:rsid w:val="00967251"/>
    <w:rsid w:val="0097209E"/>
    <w:rsid w:val="00977231"/>
    <w:rsid w:val="00980B03"/>
    <w:rsid w:val="00983275"/>
    <w:rsid w:val="00993F4E"/>
    <w:rsid w:val="009A2156"/>
    <w:rsid w:val="009A740A"/>
    <w:rsid w:val="009B18B5"/>
    <w:rsid w:val="009B3043"/>
    <w:rsid w:val="009B4739"/>
    <w:rsid w:val="009B6AC0"/>
    <w:rsid w:val="009B7DCB"/>
    <w:rsid w:val="009D18E7"/>
    <w:rsid w:val="009D2781"/>
    <w:rsid w:val="009D5BE9"/>
    <w:rsid w:val="009D6650"/>
    <w:rsid w:val="009F0895"/>
    <w:rsid w:val="009F1C22"/>
    <w:rsid w:val="009F4621"/>
    <w:rsid w:val="009F790A"/>
    <w:rsid w:val="00A06D28"/>
    <w:rsid w:val="00A06E3D"/>
    <w:rsid w:val="00A06EFD"/>
    <w:rsid w:val="00A17118"/>
    <w:rsid w:val="00A20CBF"/>
    <w:rsid w:val="00A30EF2"/>
    <w:rsid w:val="00A37CAF"/>
    <w:rsid w:val="00A44540"/>
    <w:rsid w:val="00A479CD"/>
    <w:rsid w:val="00A5147F"/>
    <w:rsid w:val="00A52FCF"/>
    <w:rsid w:val="00A538C7"/>
    <w:rsid w:val="00A80206"/>
    <w:rsid w:val="00A90892"/>
    <w:rsid w:val="00A95F00"/>
    <w:rsid w:val="00AA09E9"/>
    <w:rsid w:val="00AA61C4"/>
    <w:rsid w:val="00AA6A62"/>
    <w:rsid w:val="00AB0C92"/>
    <w:rsid w:val="00AB64D8"/>
    <w:rsid w:val="00AC459B"/>
    <w:rsid w:val="00AD26DA"/>
    <w:rsid w:val="00AD2C41"/>
    <w:rsid w:val="00AD3D0C"/>
    <w:rsid w:val="00AD7255"/>
    <w:rsid w:val="00AD7840"/>
    <w:rsid w:val="00AE1E1C"/>
    <w:rsid w:val="00AF1E70"/>
    <w:rsid w:val="00AF59A2"/>
    <w:rsid w:val="00AF5B5F"/>
    <w:rsid w:val="00AF6700"/>
    <w:rsid w:val="00B05633"/>
    <w:rsid w:val="00B1392C"/>
    <w:rsid w:val="00B13B49"/>
    <w:rsid w:val="00B24D6D"/>
    <w:rsid w:val="00B3116A"/>
    <w:rsid w:val="00B32C52"/>
    <w:rsid w:val="00B333AB"/>
    <w:rsid w:val="00B4306F"/>
    <w:rsid w:val="00B43B6A"/>
    <w:rsid w:val="00B45304"/>
    <w:rsid w:val="00B45DF4"/>
    <w:rsid w:val="00B470CD"/>
    <w:rsid w:val="00B603AB"/>
    <w:rsid w:val="00B64BDE"/>
    <w:rsid w:val="00B670B5"/>
    <w:rsid w:val="00B73736"/>
    <w:rsid w:val="00B754F4"/>
    <w:rsid w:val="00B85D13"/>
    <w:rsid w:val="00B87CDE"/>
    <w:rsid w:val="00B95CB7"/>
    <w:rsid w:val="00B97974"/>
    <w:rsid w:val="00BA7F23"/>
    <w:rsid w:val="00BB79A4"/>
    <w:rsid w:val="00BC35A8"/>
    <w:rsid w:val="00BD16C2"/>
    <w:rsid w:val="00BD6B09"/>
    <w:rsid w:val="00BD7F0A"/>
    <w:rsid w:val="00BE2AA1"/>
    <w:rsid w:val="00BE514A"/>
    <w:rsid w:val="00BE7B0A"/>
    <w:rsid w:val="00BF262B"/>
    <w:rsid w:val="00BF6C6E"/>
    <w:rsid w:val="00BF7849"/>
    <w:rsid w:val="00C03810"/>
    <w:rsid w:val="00C10DB7"/>
    <w:rsid w:val="00C22C60"/>
    <w:rsid w:val="00C2679D"/>
    <w:rsid w:val="00C32A31"/>
    <w:rsid w:val="00C45958"/>
    <w:rsid w:val="00C55587"/>
    <w:rsid w:val="00C75C9E"/>
    <w:rsid w:val="00C80F5D"/>
    <w:rsid w:val="00C9207B"/>
    <w:rsid w:val="00C92602"/>
    <w:rsid w:val="00CA3D45"/>
    <w:rsid w:val="00CA3F16"/>
    <w:rsid w:val="00CA48ED"/>
    <w:rsid w:val="00CB269D"/>
    <w:rsid w:val="00CB79E8"/>
    <w:rsid w:val="00CB7A9A"/>
    <w:rsid w:val="00CC02FD"/>
    <w:rsid w:val="00CC5B87"/>
    <w:rsid w:val="00CE1EC0"/>
    <w:rsid w:val="00CE2359"/>
    <w:rsid w:val="00CE35CE"/>
    <w:rsid w:val="00CF1112"/>
    <w:rsid w:val="00CF1312"/>
    <w:rsid w:val="00CF18B2"/>
    <w:rsid w:val="00CF3E8C"/>
    <w:rsid w:val="00CF63BB"/>
    <w:rsid w:val="00D05C91"/>
    <w:rsid w:val="00D0646D"/>
    <w:rsid w:val="00D204EF"/>
    <w:rsid w:val="00D23A7A"/>
    <w:rsid w:val="00D23D12"/>
    <w:rsid w:val="00D26552"/>
    <w:rsid w:val="00D35420"/>
    <w:rsid w:val="00D3696C"/>
    <w:rsid w:val="00D40520"/>
    <w:rsid w:val="00D50D95"/>
    <w:rsid w:val="00D51844"/>
    <w:rsid w:val="00D546A4"/>
    <w:rsid w:val="00D5475F"/>
    <w:rsid w:val="00D558E2"/>
    <w:rsid w:val="00D56772"/>
    <w:rsid w:val="00D57741"/>
    <w:rsid w:val="00D64D2B"/>
    <w:rsid w:val="00D70CB3"/>
    <w:rsid w:val="00D9485E"/>
    <w:rsid w:val="00D94CC8"/>
    <w:rsid w:val="00D956BA"/>
    <w:rsid w:val="00D95EAB"/>
    <w:rsid w:val="00D95FA8"/>
    <w:rsid w:val="00DA0309"/>
    <w:rsid w:val="00DA2FA8"/>
    <w:rsid w:val="00DA7DD9"/>
    <w:rsid w:val="00DB04A9"/>
    <w:rsid w:val="00DB1FEF"/>
    <w:rsid w:val="00DB2529"/>
    <w:rsid w:val="00DC49A2"/>
    <w:rsid w:val="00E043B1"/>
    <w:rsid w:val="00E101F3"/>
    <w:rsid w:val="00E10351"/>
    <w:rsid w:val="00E1277D"/>
    <w:rsid w:val="00E12B9A"/>
    <w:rsid w:val="00E21E4F"/>
    <w:rsid w:val="00E268AB"/>
    <w:rsid w:val="00E331BA"/>
    <w:rsid w:val="00E335B9"/>
    <w:rsid w:val="00E41516"/>
    <w:rsid w:val="00E44CE6"/>
    <w:rsid w:val="00E538E7"/>
    <w:rsid w:val="00E7647B"/>
    <w:rsid w:val="00E904AE"/>
    <w:rsid w:val="00E94475"/>
    <w:rsid w:val="00E97312"/>
    <w:rsid w:val="00EA1598"/>
    <w:rsid w:val="00EB7811"/>
    <w:rsid w:val="00ED190A"/>
    <w:rsid w:val="00ED1A8B"/>
    <w:rsid w:val="00ED442A"/>
    <w:rsid w:val="00ED531D"/>
    <w:rsid w:val="00EE05EF"/>
    <w:rsid w:val="00EE1069"/>
    <w:rsid w:val="00EF0B14"/>
    <w:rsid w:val="00EF75D1"/>
    <w:rsid w:val="00F25E6E"/>
    <w:rsid w:val="00F36502"/>
    <w:rsid w:val="00F50448"/>
    <w:rsid w:val="00F5199D"/>
    <w:rsid w:val="00F51D3E"/>
    <w:rsid w:val="00F571D6"/>
    <w:rsid w:val="00F65911"/>
    <w:rsid w:val="00F7226E"/>
    <w:rsid w:val="00F72E6E"/>
    <w:rsid w:val="00F86E79"/>
    <w:rsid w:val="00F8729A"/>
    <w:rsid w:val="00F926AF"/>
    <w:rsid w:val="00F94708"/>
    <w:rsid w:val="00FA1D1C"/>
    <w:rsid w:val="00FA395B"/>
    <w:rsid w:val="00FA43C2"/>
    <w:rsid w:val="00FA5789"/>
    <w:rsid w:val="00FA789B"/>
    <w:rsid w:val="00FB3ED7"/>
    <w:rsid w:val="00FB4157"/>
    <w:rsid w:val="00FB5BC9"/>
    <w:rsid w:val="00FC19B5"/>
    <w:rsid w:val="00FC37A8"/>
    <w:rsid w:val="00FD3D70"/>
    <w:rsid w:val="00FE1382"/>
    <w:rsid w:val="00FF39E4"/>
    <w:rsid w:val="00FF7179"/>
    <w:rsid w:val="313B2EFA"/>
    <w:rsid w:val="5D8805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F7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276B27"/>
  </w:style>
  <w:style w:type="paragraph" w:styleId="Heading1">
    <w:name w:val="heading 1"/>
    <w:basedOn w:val="Normal"/>
    <w:uiPriority w:val="1"/>
    <w:qFormat/>
    <w:pPr>
      <w:ind w:left="116"/>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736" w:hanging="360"/>
    </w:pPr>
    <w:rPr>
      <w:rFonts w:ascii="Times New Roman" w:eastAsia="Times New Roman" w:hAnsi="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customStyle="1" w:styleId="Default">
    <w:name w:val="Default"/>
    <w:rsid w:val="006C46C9"/>
    <w:pPr>
      <w:widowControl/>
      <w:autoSpaceDE w:val="0"/>
      <w:autoSpaceDN w:val="0"/>
      <w:adjustRightInd w:val="0"/>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E904AE"/>
    <w:pPr>
      <w:tabs>
        <w:tab w:val="center" w:pos="4680"/>
        <w:tab w:val="right" w:pos="9360"/>
      </w:tabs>
    </w:pPr>
  </w:style>
  <w:style w:type="character" w:customStyle="1" w:styleId="HeaderChar">
    <w:name w:val="Header Char"/>
    <w:basedOn w:val="DefaultParagraphFont"/>
    <w:link w:val="Header"/>
    <w:uiPriority w:val="99"/>
    <w:rsid w:val="00E904AE"/>
  </w:style>
  <w:style w:type="paragraph" w:styleId="Footer">
    <w:name w:val="footer"/>
    <w:basedOn w:val="Normal"/>
    <w:link w:val="FooterChar"/>
    <w:uiPriority w:val="99"/>
    <w:unhideWhenUsed/>
    <w:rsid w:val="00E904AE"/>
    <w:pPr>
      <w:tabs>
        <w:tab w:val="center" w:pos="4680"/>
        <w:tab w:val="right" w:pos="9360"/>
      </w:tabs>
    </w:pPr>
  </w:style>
  <w:style w:type="character" w:customStyle="1" w:styleId="FooterChar">
    <w:name w:val="Footer Char"/>
    <w:basedOn w:val="DefaultParagraphFont"/>
    <w:link w:val="Footer"/>
    <w:uiPriority w:val="99"/>
    <w:rsid w:val="00E904AE"/>
  </w:style>
  <w:style w:type="table" w:styleId="TableGrid">
    <w:name w:val="Table Grid"/>
    <w:basedOn w:val="TableNormal"/>
    <w:uiPriority w:val="39"/>
    <w:rsid w:val="002F4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70CB3"/>
    <w:rPr>
      <w:color w:val="0000FF" w:themeColor="hyperlink"/>
      <w:u w:val="single"/>
    </w:rPr>
  </w:style>
  <w:style w:type="character" w:styleId="Mention">
    <w:name w:val="Mention"/>
    <w:basedOn w:val="DefaultParagraphFont"/>
    <w:uiPriority w:val="99"/>
    <w:semiHidden/>
    <w:unhideWhenUsed/>
    <w:rsid w:val="00D70CB3"/>
    <w:rPr>
      <w:color w:val="2B579A"/>
      <w:shd w:val="clear" w:color="auto" w:fill="E6E6E6"/>
    </w:rPr>
  </w:style>
  <w:style w:type="character" w:styleId="CommentReference">
    <w:name w:val="annotation reference"/>
    <w:basedOn w:val="DefaultParagraphFont"/>
    <w:unhideWhenUsed/>
    <w:rsid w:val="003D317D"/>
    <w:rPr>
      <w:sz w:val="16"/>
      <w:szCs w:val="16"/>
    </w:rPr>
  </w:style>
  <w:style w:type="paragraph" w:styleId="CommentText">
    <w:name w:val="annotation text"/>
    <w:basedOn w:val="Normal"/>
    <w:link w:val="CommentTextChar"/>
    <w:unhideWhenUsed/>
    <w:rsid w:val="003D317D"/>
    <w:rPr>
      <w:sz w:val="20"/>
      <w:szCs w:val="20"/>
    </w:rPr>
  </w:style>
  <w:style w:type="character" w:customStyle="1" w:styleId="CommentTextChar">
    <w:name w:val="Comment Text Char"/>
    <w:basedOn w:val="DefaultParagraphFont"/>
    <w:link w:val="CommentText"/>
    <w:rsid w:val="003D317D"/>
    <w:rPr>
      <w:sz w:val="20"/>
      <w:szCs w:val="20"/>
    </w:rPr>
  </w:style>
  <w:style w:type="paragraph" w:styleId="CommentSubject">
    <w:name w:val="annotation subject"/>
    <w:basedOn w:val="CommentText"/>
    <w:next w:val="CommentText"/>
    <w:link w:val="CommentSubjectChar"/>
    <w:uiPriority w:val="99"/>
    <w:semiHidden/>
    <w:unhideWhenUsed/>
    <w:rsid w:val="003D317D"/>
    <w:rPr>
      <w:b/>
      <w:bCs/>
    </w:rPr>
  </w:style>
  <w:style w:type="character" w:customStyle="1" w:styleId="CommentSubjectChar">
    <w:name w:val="Comment Subject Char"/>
    <w:basedOn w:val="CommentTextChar"/>
    <w:link w:val="CommentSubject"/>
    <w:uiPriority w:val="99"/>
    <w:semiHidden/>
    <w:rsid w:val="003D317D"/>
    <w:rPr>
      <w:b/>
      <w:bCs/>
      <w:sz w:val="20"/>
      <w:szCs w:val="20"/>
    </w:rPr>
  </w:style>
  <w:style w:type="paragraph" w:styleId="BalloonText">
    <w:name w:val="Balloon Text"/>
    <w:basedOn w:val="Normal"/>
    <w:link w:val="BalloonTextChar"/>
    <w:uiPriority w:val="99"/>
    <w:semiHidden/>
    <w:unhideWhenUsed/>
    <w:rsid w:val="003D31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17D"/>
    <w:rPr>
      <w:rFonts w:ascii="Segoe UI" w:hAnsi="Segoe UI" w:cs="Segoe UI"/>
      <w:sz w:val="18"/>
      <w:szCs w:val="18"/>
    </w:rPr>
  </w:style>
  <w:style w:type="paragraph" w:styleId="FootnoteText">
    <w:name w:val="footnote text"/>
    <w:basedOn w:val="Normal"/>
    <w:link w:val="FootnoteTextChar"/>
    <w:uiPriority w:val="99"/>
    <w:semiHidden/>
    <w:unhideWhenUsed/>
    <w:rsid w:val="00B1392C"/>
    <w:rPr>
      <w:sz w:val="20"/>
      <w:szCs w:val="20"/>
    </w:rPr>
  </w:style>
  <w:style w:type="character" w:customStyle="1" w:styleId="FootnoteTextChar">
    <w:name w:val="Footnote Text Char"/>
    <w:basedOn w:val="DefaultParagraphFont"/>
    <w:link w:val="FootnoteText"/>
    <w:uiPriority w:val="99"/>
    <w:semiHidden/>
    <w:rsid w:val="00B1392C"/>
    <w:rPr>
      <w:sz w:val="20"/>
      <w:szCs w:val="20"/>
    </w:rPr>
  </w:style>
  <w:style w:type="character" w:styleId="FootnoteReference">
    <w:name w:val="footnote reference"/>
    <w:basedOn w:val="DefaultParagraphFont"/>
    <w:uiPriority w:val="99"/>
    <w:semiHidden/>
    <w:unhideWhenUsed/>
    <w:rsid w:val="00B1392C"/>
    <w:rPr>
      <w:vertAlign w:val="superscript"/>
    </w:rPr>
  </w:style>
  <w:style w:type="paragraph" w:styleId="Revision">
    <w:name w:val="Revision"/>
    <w:hidden/>
    <w:uiPriority w:val="99"/>
    <w:semiHidden/>
    <w:rsid w:val="0014783D"/>
    <w:pPr>
      <w:widowControl/>
    </w:pPr>
  </w:style>
  <w:style w:type="character" w:styleId="UnresolvedMention">
    <w:name w:val="Unresolved Mention"/>
    <w:basedOn w:val="DefaultParagraphFont"/>
    <w:uiPriority w:val="99"/>
    <w:semiHidden/>
    <w:unhideWhenUsed/>
    <w:rsid w:val="00090093"/>
    <w:rPr>
      <w:color w:val="808080"/>
      <w:shd w:val="clear" w:color="auto" w:fill="E6E6E6"/>
    </w:rPr>
  </w:style>
  <w:style w:type="character" w:styleId="Strong">
    <w:name w:val="Strong"/>
    <w:basedOn w:val="DefaultParagraphFont"/>
    <w:uiPriority w:val="22"/>
    <w:qFormat/>
    <w:rsid w:val="000C64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11919">
      <w:bodyDiv w:val="1"/>
      <w:marLeft w:val="0"/>
      <w:marRight w:val="0"/>
      <w:marTop w:val="0"/>
      <w:marBottom w:val="0"/>
      <w:divBdr>
        <w:top w:val="none" w:sz="0" w:space="0" w:color="auto"/>
        <w:left w:val="none" w:sz="0" w:space="0" w:color="auto"/>
        <w:bottom w:val="none" w:sz="0" w:space="0" w:color="auto"/>
        <w:right w:val="none" w:sz="0" w:space="0" w:color="auto"/>
      </w:divBdr>
    </w:div>
    <w:div w:id="216867208">
      <w:bodyDiv w:val="1"/>
      <w:marLeft w:val="0"/>
      <w:marRight w:val="0"/>
      <w:marTop w:val="0"/>
      <w:marBottom w:val="0"/>
      <w:divBdr>
        <w:top w:val="none" w:sz="0" w:space="0" w:color="auto"/>
        <w:left w:val="none" w:sz="0" w:space="0" w:color="auto"/>
        <w:bottom w:val="none" w:sz="0" w:space="0" w:color="auto"/>
        <w:right w:val="none" w:sz="0" w:space="0" w:color="auto"/>
      </w:divBdr>
    </w:div>
    <w:div w:id="510293559">
      <w:bodyDiv w:val="1"/>
      <w:marLeft w:val="0"/>
      <w:marRight w:val="0"/>
      <w:marTop w:val="0"/>
      <w:marBottom w:val="0"/>
      <w:divBdr>
        <w:top w:val="none" w:sz="0" w:space="0" w:color="auto"/>
        <w:left w:val="none" w:sz="0" w:space="0" w:color="auto"/>
        <w:bottom w:val="none" w:sz="0" w:space="0" w:color="auto"/>
        <w:right w:val="none" w:sz="0" w:space="0" w:color="auto"/>
      </w:divBdr>
    </w:div>
    <w:div w:id="580911572">
      <w:bodyDiv w:val="1"/>
      <w:marLeft w:val="0"/>
      <w:marRight w:val="0"/>
      <w:marTop w:val="0"/>
      <w:marBottom w:val="0"/>
      <w:divBdr>
        <w:top w:val="none" w:sz="0" w:space="0" w:color="auto"/>
        <w:left w:val="none" w:sz="0" w:space="0" w:color="auto"/>
        <w:bottom w:val="none" w:sz="0" w:space="0" w:color="auto"/>
        <w:right w:val="none" w:sz="0" w:space="0" w:color="auto"/>
      </w:divBdr>
    </w:div>
    <w:div w:id="632056213">
      <w:bodyDiv w:val="1"/>
      <w:marLeft w:val="0"/>
      <w:marRight w:val="0"/>
      <w:marTop w:val="0"/>
      <w:marBottom w:val="0"/>
      <w:divBdr>
        <w:top w:val="none" w:sz="0" w:space="0" w:color="auto"/>
        <w:left w:val="none" w:sz="0" w:space="0" w:color="auto"/>
        <w:bottom w:val="none" w:sz="0" w:space="0" w:color="auto"/>
        <w:right w:val="none" w:sz="0" w:space="0" w:color="auto"/>
      </w:divBdr>
    </w:div>
    <w:div w:id="692339133">
      <w:bodyDiv w:val="1"/>
      <w:marLeft w:val="0"/>
      <w:marRight w:val="0"/>
      <w:marTop w:val="0"/>
      <w:marBottom w:val="0"/>
      <w:divBdr>
        <w:top w:val="none" w:sz="0" w:space="0" w:color="auto"/>
        <w:left w:val="none" w:sz="0" w:space="0" w:color="auto"/>
        <w:bottom w:val="none" w:sz="0" w:space="0" w:color="auto"/>
        <w:right w:val="none" w:sz="0" w:space="0" w:color="auto"/>
      </w:divBdr>
    </w:div>
    <w:div w:id="702898025">
      <w:bodyDiv w:val="1"/>
      <w:marLeft w:val="0"/>
      <w:marRight w:val="0"/>
      <w:marTop w:val="0"/>
      <w:marBottom w:val="0"/>
      <w:divBdr>
        <w:top w:val="none" w:sz="0" w:space="0" w:color="auto"/>
        <w:left w:val="none" w:sz="0" w:space="0" w:color="auto"/>
        <w:bottom w:val="none" w:sz="0" w:space="0" w:color="auto"/>
        <w:right w:val="none" w:sz="0" w:space="0" w:color="auto"/>
      </w:divBdr>
    </w:div>
    <w:div w:id="884489216">
      <w:bodyDiv w:val="1"/>
      <w:marLeft w:val="0"/>
      <w:marRight w:val="0"/>
      <w:marTop w:val="0"/>
      <w:marBottom w:val="0"/>
      <w:divBdr>
        <w:top w:val="none" w:sz="0" w:space="0" w:color="auto"/>
        <w:left w:val="none" w:sz="0" w:space="0" w:color="auto"/>
        <w:bottom w:val="none" w:sz="0" w:space="0" w:color="auto"/>
        <w:right w:val="none" w:sz="0" w:space="0" w:color="auto"/>
      </w:divBdr>
    </w:div>
    <w:div w:id="955865238">
      <w:bodyDiv w:val="1"/>
      <w:marLeft w:val="0"/>
      <w:marRight w:val="0"/>
      <w:marTop w:val="0"/>
      <w:marBottom w:val="0"/>
      <w:divBdr>
        <w:top w:val="none" w:sz="0" w:space="0" w:color="auto"/>
        <w:left w:val="none" w:sz="0" w:space="0" w:color="auto"/>
        <w:bottom w:val="none" w:sz="0" w:space="0" w:color="auto"/>
        <w:right w:val="none" w:sz="0" w:space="0" w:color="auto"/>
      </w:divBdr>
    </w:div>
    <w:div w:id="958223024">
      <w:bodyDiv w:val="1"/>
      <w:marLeft w:val="0"/>
      <w:marRight w:val="0"/>
      <w:marTop w:val="0"/>
      <w:marBottom w:val="0"/>
      <w:divBdr>
        <w:top w:val="none" w:sz="0" w:space="0" w:color="auto"/>
        <w:left w:val="none" w:sz="0" w:space="0" w:color="auto"/>
        <w:bottom w:val="none" w:sz="0" w:space="0" w:color="auto"/>
        <w:right w:val="none" w:sz="0" w:space="0" w:color="auto"/>
      </w:divBdr>
    </w:div>
    <w:div w:id="1052540690">
      <w:bodyDiv w:val="1"/>
      <w:marLeft w:val="0"/>
      <w:marRight w:val="0"/>
      <w:marTop w:val="0"/>
      <w:marBottom w:val="0"/>
      <w:divBdr>
        <w:top w:val="none" w:sz="0" w:space="0" w:color="auto"/>
        <w:left w:val="none" w:sz="0" w:space="0" w:color="auto"/>
        <w:bottom w:val="none" w:sz="0" w:space="0" w:color="auto"/>
        <w:right w:val="none" w:sz="0" w:space="0" w:color="auto"/>
      </w:divBdr>
    </w:div>
    <w:div w:id="1090853413">
      <w:bodyDiv w:val="1"/>
      <w:marLeft w:val="0"/>
      <w:marRight w:val="0"/>
      <w:marTop w:val="0"/>
      <w:marBottom w:val="0"/>
      <w:divBdr>
        <w:top w:val="none" w:sz="0" w:space="0" w:color="auto"/>
        <w:left w:val="none" w:sz="0" w:space="0" w:color="auto"/>
        <w:bottom w:val="none" w:sz="0" w:space="0" w:color="auto"/>
        <w:right w:val="none" w:sz="0" w:space="0" w:color="auto"/>
      </w:divBdr>
    </w:div>
    <w:div w:id="1119035392">
      <w:bodyDiv w:val="1"/>
      <w:marLeft w:val="0"/>
      <w:marRight w:val="0"/>
      <w:marTop w:val="0"/>
      <w:marBottom w:val="0"/>
      <w:divBdr>
        <w:top w:val="none" w:sz="0" w:space="0" w:color="auto"/>
        <w:left w:val="none" w:sz="0" w:space="0" w:color="auto"/>
        <w:bottom w:val="none" w:sz="0" w:space="0" w:color="auto"/>
        <w:right w:val="none" w:sz="0" w:space="0" w:color="auto"/>
      </w:divBdr>
    </w:div>
    <w:div w:id="1213423900">
      <w:bodyDiv w:val="1"/>
      <w:marLeft w:val="0"/>
      <w:marRight w:val="0"/>
      <w:marTop w:val="0"/>
      <w:marBottom w:val="0"/>
      <w:divBdr>
        <w:top w:val="none" w:sz="0" w:space="0" w:color="auto"/>
        <w:left w:val="none" w:sz="0" w:space="0" w:color="auto"/>
        <w:bottom w:val="none" w:sz="0" w:space="0" w:color="auto"/>
        <w:right w:val="none" w:sz="0" w:space="0" w:color="auto"/>
      </w:divBdr>
    </w:div>
    <w:div w:id="1374430312">
      <w:bodyDiv w:val="1"/>
      <w:marLeft w:val="0"/>
      <w:marRight w:val="0"/>
      <w:marTop w:val="0"/>
      <w:marBottom w:val="0"/>
      <w:divBdr>
        <w:top w:val="none" w:sz="0" w:space="0" w:color="auto"/>
        <w:left w:val="none" w:sz="0" w:space="0" w:color="auto"/>
        <w:bottom w:val="none" w:sz="0" w:space="0" w:color="auto"/>
        <w:right w:val="none" w:sz="0" w:space="0" w:color="auto"/>
      </w:divBdr>
    </w:div>
    <w:div w:id="1494679555">
      <w:bodyDiv w:val="1"/>
      <w:marLeft w:val="0"/>
      <w:marRight w:val="0"/>
      <w:marTop w:val="0"/>
      <w:marBottom w:val="0"/>
      <w:divBdr>
        <w:top w:val="none" w:sz="0" w:space="0" w:color="auto"/>
        <w:left w:val="none" w:sz="0" w:space="0" w:color="auto"/>
        <w:bottom w:val="none" w:sz="0" w:space="0" w:color="auto"/>
        <w:right w:val="none" w:sz="0" w:space="0" w:color="auto"/>
      </w:divBdr>
    </w:div>
    <w:div w:id="1617591661">
      <w:bodyDiv w:val="1"/>
      <w:marLeft w:val="0"/>
      <w:marRight w:val="0"/>
      <w:marTop w:val="0"/>
      <w:marBottom w:val="0"/>
      <w:divBdr>
        <w:top w:val="none" w:sz="0" w:space="0" w:color="auto"/>
        <w:left w:val="none" w:sz="0" w:space="0" w:color="auto"/>
        <w:bottom w:val="none" w:sz="0" w:space="0" w:color="auto"/>
        <w:right w:val="none" w:sz="0" w:space="0" w:color="auto"/>
      </w:divBdr>
    </w:div>
    <w:div w:id="1719087552">
      <w:bodyDiv w:val="1"/>
      <w:marLeft w:val="0"/>
      <w:marRight w:val="0"/>
      <w:marTop w:val="0"/>
      <w:marBottom w:val="0"/>
      <w:divBdr>
        <w:top w:val="none" w:sz="0" w:space="0" w:color="auto"/>
        <w:left w:val="none" w:sz="0" w:space="0" w:color="auto"/>
        <w:bottom w:val="none" w:sz="0" w:space="0" w:color="auto"/>
        <w:right w:val="none" w:sz="0" w:space="0" w:color="auto"/>
      </w:divBdr>
    </w:div>
    <w:div w:id="1769425821">
      <w:bodyDiv w:val="1"/>
      <w:marLeft w:val="0"/>
      <w:marRight w:val="0"/>
      <w:marTop w:val="0"/>
      <w:marBottom w:val="0"/>
      <w:divBdr>
        <w:top w:val="none" w:sz="0" w:space="0" w:color="auto"/>
        <w:left w:val="none" w:sz="0" w:space="0" w:color="auto"/>
        <w:bottom w:val="none" w:sz="0" w:space="0" w:color="auto"/>
        <w:right w:val="none" w:sz="0" w:space="0" w:color="auto"/>
      </w:divBdr>
    </w:div>
    <w:div w:id="1861239891">
      <w:bodyDiv w:val="1"/>
      <w:marLeft w:val="0"/>
      <w:marRight w:val="0"/>
      <w:marTop w:val="0"/>
      <w:marBottom w:val="0"/>
      <w:divBdr>
        <w:top w:val="none" w:sz="0" w:space="0" w:color="auto"/>
        <w:left w:val="none" w:sz="0" w:space="0" w:color="auto"/>
        <w:bottom w:val="none" w:sz="0" w:space="0" w:color="auto"/>
        <w:right w:val="none" w:sz="0" w:space="0" w:color="auto"/>
      </w:divBdr>
    </w:div>
    <w:div w:id="2053963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rlz=1C1CHBF_enUS771US771&amp;ei=CcLmXbriGOu7tgX_g5L4Aw&amp;q=carb+california+average+electricy+used&amp;oq=carb+california+average+electricy+used&amp;gs_l=psy-ab.3..33i10i299l3.72159.79149..79423...0.1..1.276.4429.10j27j1......0....1..gws-wiz.......0i71j0i273j0i67j0i131j0j0i333j0i22i30j33i160j33i299j33i22i29i30j33i10i160.kHS28PuemAg&amp;ved=0ahUKEwj6ipCypZrmAhXrna0KHf-BBD8Q4dUDCAs&amp;uact=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oasis.caiso.com/mrioasis/logon.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62AA3-AB9F-41AF-B9D9-303CE8D65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2285</Words>
  <Characters>13028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15283</CharactersWithSpaces>
  <SharedDoc>false</SharedDoc>
  <HLinks>
    <vt:vector size="12" baseType="variant">
      <vt:variant>
        <vt:i4>5046351</vt:i4>
      </vt:variant>
      <vt:variant>
        <vt:i4>3</vt:i4>
      </vt:variant>
      <vt:variant>
        <vt:i4>0</vt:i4>
      </vt:variant>
      <vt:variant>
        <vt:i4>5</vt:i4>
      </vt:variant>
      <vt:variant>
        <vt:lpwstr>http://oasis.caiso.com/mrioasis/logon.do</vt:lpwstr>
      </vt:variant>
      <vt:variant>
        <vt:lpwstr/>
      </vt:variant>
      <vt:variant>
        <vt:i4>3997717</vt:i4>
      </vt:variant>
      <vt:variant>
        <vt:i4>0</vt:i4>
      </vt:variant>
      <vt:variant>
        <vt:i4>0</vt:i4>
      </vt:variant>
      <vt:variant>
        <vt:i4>5</vt:i4>
      </vt:variant>
      <vt:variant>
        <vt:lpwstr>https://www.google.com/search?rlz=1C1CHBF_enUS771US771&amp;ei=CcLmXbriGOu7tgX_g5L4Aw&amp;q=carb+california+average+electricy+used&amp;oq=carb+california+average+electricy+used&amp;gs_l=psy-ab.3..33i10i299l3.72159.79149..79423...0.1..1.276.4429.10j27j1......0....1..gws-wiz.......0i71j0i273j0i67j0i131j0j0i333j0i22i30j33i160j33i299j33i22i29i30j33i10i160.kHS28PuemAg&amp;ved=0ahUKEwj6ipCypZrmAhXrna0KHf-BBD8Q4dUDCAs&amp;uact=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2019-12-18T21:35:00Z</dcterms:created>
  <dcterms:modified xsi:type="dcterms:W3CDTF">2019-12-18T21:44:00Z</dcterms:modified>
</cp:coreProperties>
</file>